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520EA2" w:rsidRPr="00520EA2" w14:paraId="4FEF955A" w14:textId="77777777">
        <w:trPr>
          <w:trHeight w:val="360"/>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008FC3E" w14:textId="77777777" w:rsidR="00520EA2" w:rsidRPr="00520EA2" w:rsidRDefault="00520EA2" w:rsidP="00520EA2">
            <w:pPr>
              <w:jc w:val="both"/>
            </w:pPr>
            <w:r w:rsidRPr="00520EA2">
              <w:t>31 Ocak 2026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3C19E3A" w14:textId="77777777" w:rsidR="00520EA2" w:rsidRPr="00520EA2" w:rsidRDefault="00520EA2" w:rsidP="00520EA2">
            <w:pPr>
              <w:jc w:val="both"/>
            </w:pPr>
            <w:r w:rsidRPr="00520EA2">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15E010C2" w14:textId="77777777" w:rsidR="00520EA2" w:rsidRPr="00520EA2" w:rsidRDefault="00520EA2" w:rsidP="00520EA2">
            <w:pPr>
              <w:jc w:val="both"/>
            </w:pPr>
            <w:proofErr w:type="gramStart"/>
            <w:r w:rsidRPr="00520EA2">
              <w:t>Sayı :</w:t>
            </w:r>
            <w:proofErr w:type="gramEnd"/>
            <w:r w:rsidRPr="00520EA2">
              <w:t xml:space="preserve"> 33154</w:t>
            </w:r>
          </w:p>
        </w:tc>
      </w:tr>
      <w:tr w:rsidR="00520EA2" w:rsidRPr="00520EA2" w14:paraId="2D7F1E54" w14:textId="77777777">
        <w:trPr>
          <w:trHeight w:val="480"/>
        </w:trPr>
        <w:tc>
          <w:tcPr>
            <w:tcW w:w="8789" w:type="dxa"/>
            <w:gridSpan w:val="3"/>
            <w:tcMar>
              <w:top w:w="0" w:type="dxa"/>
              <w:left w:w="108" w:type="dxa"/>
              <w:bottom w:w="0" w:type="dxa"/>
              <w:right w:w="108" w:type="dxa"/>
            </w:tcMar>
            <w:vAlign w:val="center"/>
            <w:hideMark/>
          </w:tcPr>
          <w:p w14:paraId="35418459" w14:textId="77777777" w:rsidR="00520EA2" w:rsidRPr="00520EA2" w:rsidRDefault="00520EA2" w:rsidP="00520EA2">
            <w:pPr>
              <w:jc w:val="both"/>
            </w:pPr>
            <w:r w:rsidRPr="00520EA2">
              <w:rPr>
                <w:b/>
                <w:bCs/>
              </w:rPr>
              <w:t>TEBLİĞ</w:t>
            </w:r>
          </w:p>
        </w:tc>
      </w:tr>
      <w:tr w:rsidR="00520EA2" w:rsidRPr="00520EA2" w14:paraId="6A49BD49" w14:textId="77777777">
        <w:trPr>
          <w:trHeight w:val="480"/>
        </w:trPr>
        <w:tc>
          <w:tcPr>
            <w:tcW w:w="8789" w:type="dxa"/>
            <w:gridSpan w:val="3"/>
            <w:tcMar>
              <w:top w:w="0" w:type="dxa"/>
              <w:left w:w="108" w:type="dxa"/>
              <w:bottom w:w="0" w:type="dxa"/>
              <w:right w:w="108" w:type="dxa"/>
            </w:tcMar>
            <w:vAlign w:val="center"/>
            <w:hideMark/>
          </w:tcPr>
          <w:p w14:paraId="00BB47BF" w14:textId="77777777" w:rsidR="00520EA2" w:rsidRPr="00520EA2" w:rsidRDefault="00520EA2" w:rsidP="00520EA2">
            <w:pPr>
              <w:jc w:val="both"/>
              <w:rPr>
                <w:u w:val="single"/>
              </w:rPr>
            </w:pPr>
            <w:r w:rsidRPr="00520EA2">
              <w:rPr>
                <w:u w:val="single"/>
              </w:rPr>
              <w:t>Hazine ve Maliye Bakanlığı (Gelir İdaresi Başkanlığı)’</w:t>
            </w:r>
            <w:proofErr w:type="spellStart"/>
            <w:r w:rsidRPr="00520EA2">
              <w:rPr>
                <w:u w:val="single"/>
              </w:rPr>
              <w:t>ndan</w:t>
            </w:r>
            <w:proofErr w:type="spellEnd"/>
            <w:r w:rsidRPr="00520EA2">
              <w:rPr>
                <w:u w:val="single"/>
              </w:rPr>
              <w:t>:</w:t>
            </w:r>
          </w:p>
          <w:p w14:paraId="2BBC2BF3" w14:textId="77777777" w:rsidR="00520EA2" w:rsidRPr="00520EA2" w:rsidRDefault="00520EA2" w:rsidP="00520EA2">
            <w:pPr>
              <w:jc w:val="both"/>
              <w:rPr>
                <w:b/>
                <w:bCs/>
              </w:rPr>
            </w:pPr>
            <w:r w:rsidRPr="00520EA2">
              <w:rPr>
                <w:b/>
                <w:bCs/>
              </w:rPr>
              <w:t>KATMA DEĞER VERGİSİ GENEL UYGULAMA TEBLİĞİNDE DEĞİŞİKLİK</w:t>
            </w:r>
          </w:p>
          <w:p w14:paraId="6CEEE0A4" w14:textId="77777777" w:rsidR="00520EA2" w:rsidRPr="00520EA2" w:rsidRDefault="00520EA2" w:rsidP="00520EA2">
            <w:pPr>
              <w:jc w:val="both"/>
              <w:rPr>
                <w:b/>
                <w:bCs/>
              </w:rPr>
            </w:pPr>
            <w:r w:rsidRPr="00520EA2">
              <w:rPr>
                <w:b/>
                <w:bCs/>
              </w:rPr>
              <w:t>YAPILMASINA DAİR TEBLİĞ</w:t>
            </w:r>
          </w:p>
          <w:p w14:paraId="232CF757" w14:textId="77777777" w:rsidR="00520EA2" w:rsidRPr="00520EA2" w:rsidRDefault="00520EA2" w:rsidP="00520EA2">
            <w:pPr>
              <w:jc w:val="both"/>
              <w:rPr>
                <w:b/>
                <w:bCs/>
              </w:rPr>
            </w:pPr>
            <w:r w:rsidRPr="00520EA2">
              <w:rPr>
                <w:b/>
                <w:bCs/>
              </w:rPr>
              <w:t>(SERİ NO: 57)</w:t>
            </w:r>
          </w:p>
          <w:p w14:paraId="0F199B4D" w14:textId="77777777" w:rsidR="00520EA2" w:rsidRPr="00520EA2" w:rsidRDefault="00520EA2" w:rsidP="00520EA2">
            <w:pPr>
              <w:jc w:val="both"/>
            </w:pPr>
            <w:r w:rsidRPr="00520EA2">
              <w:rPr>
                <w:b/>
                <w:bCs/>
              </w:rPr>
              <w:t>MADDE 1- </w:t>
            </w:r>
            <w:r w:rsidRPr="00520EA2">
              <w:t>26/4/2014 tarihli ve 28983 sayılı Resmî Gazete’de yayımlanan Katma Değer Vergisi Genel Uygulama Tebliğinin (II/B-11.3.) bölümünün ikinci paragrafından sonra gelmek üzere aşağıdaki paragraf eklenmiştir.</w:t>
            </w:r>
          </w:p>
          <w:p w14:paraId="64679284" w14:textId="77777777" w:rsidR="00520EA2" w:rsidRPr="00520EA2" w:rsidRDefault="00520EA2" w:rsidP="00520EA2">
            <w:pPr>
              <w:jc w:val="both"/>
            </w:pPr>
            <w:r w:rsidRPr="00520EA2">
              <w:t>“Yem katkı maddelerinin karışımı ya da bir veya birden fazla yem katkı maddesinin taşıyıcısı olarak kullanılan ve hayvanlara doğrudan yedirilmesi amaçlanmayan </w:t>
            </w:r>
            <w:proofErr w:type="spellStart"/>
            <w:r w:rsidRPr="00520EA2">
              <w:t>premiksler</w:t>
            </w:r>
            <w:proofErr w:type="spellEnd"/>
            <w:r w:rsidRPr="00520EA2">
              <w:t> ile tahılların buhar ile yüksek basınç altında pişirilmesi ve ardından ezme makinasından geçirilerek kurutulması prensibine dayanan bir ürün olan </w:t>
            </w:r>
            <w:proofErr w:type="spellStart"/>
            <w:r w:rsidRPr="00520EA2">
              <w:t>flakeler</w:t>
            </w:r>
            <w:proofErr w:type="spellEnd"/>
            <w:r w:rsidRPr="00520EA2">
              <w:t> tek başına karma yem kapsamında değerlendirilmediğinden, premiks ve flakelerin teslimi istisna kapsamında değildir.”</w:t>
            </w:r>
          </w:p>
          <w:p w14:paraId="746CBEF9" w14:textId="77777777" w:rsidR="00520EA2" w:rsidRPr="00520EA2" w:rsidRDefault="00520EA2" w:rsidP="00520EA2">
            <w:pPr>
              <w:jc w:val="both"/>
            </w:pPr>
            <w:r w:rsidRPr="00520EA2">
              <w:rPr>
                <w:b/>
                <w:bCs/>
              </w:rPr>
              <w:t>MADDE 2- </w:t>
            </w:r>
            <w:r w:rsidRPr="00520EA2">
              <w:t>Aynı Tebliğin (II/E-5.) ve (II/E-5.1.) bölümlerinde yer alan “31/12/2025” ibareleri “31/12/2035” olarak değiştirilmiştir.</w:t>
            </w:r>
          </w:p>
          <w:p w14:paraId="0AE73B50" w14:textId="77777777" w:rsidR="00520EA2" w:rsidRPr="00520EA2" w:rsidRDefault="00520EA2" w:rsidP="00520EA2">
            <w:pPr>
              <w:jc w:val="both"/>
            </w:pPr>
            <w:r w:rsidRPr="00520EA2">
              <w:rPr>
                <w:b/>
                <w:bCs/>
              </w:rPr>
              <w:t>MADDE 3- </w:t>
            </w:r>
            <w:r w:rsidRPr="00520EA2">
              <w:t xml:space="preserve">Aynı Tebliğin (II/E-10.) bölümü başlığı </w:t>
            </w:r>
            <w:proofErr w:type="gramStart"/>
            <w:r w:rsidRPr="00520EA2">
              <w:t>ile birlikte</w:t>
            </w:r>
            <w:proofErr w:type="gramEnd"/>
            <w:r w:rsidRPr="00520EA2">
              <w:t xml:space="preserve"> aşağıdaki şekilde değiştirilmiştir.</w:t>
            </w:r>
          </w:p>
          <w:p w14:paraId="63DB326B" w14:textId="77777777" w:rsidR="00520EA2" w:rsidRPr="00520EA2" w:rsidRDefault="00520EA2" w:rsidP="00520EA2">
            <w:pPr>
              <w:jc w:val="both"/>
            </w:pPr>
            <w:r w:rsidRPr="00520EA2">
              <w:rPr>
                <w:b/>
                <w:bCs/>
              </w:rPr>
              <w:t>“10. 2026 UEFA Avrupa Ligi Finali ve 2027 UEFA Konferans Ligi Finali Müsabakaları ile 2032 UEFA Avrupa Futbol Şampiyonası Organizasyonu Kapsamında Yapılacak Teslim ve Hizmetlerde İstisna</w:t>
            </w:r>
          </w:p>
          <w:p w14:paraId="6B2A2236" w14:textId="77777777" w:rsidR="00520EA2" w:rsidRPr="00520EA2" w:rsidRDefault="00520EA2" w:rsidP="00520EA2">
            <w:pPr>
              <w:jc w:val="both"/>
            </w:pPr>
            <w:r w:rsidRPr="00520EA2">
              <w:t xml:space="preserve">7566 sayılı Kanunun 15 inci maddesi ile 3065 sayılı Kanuna eklenen geçici </w:t>
            </w:r>
            <w:proofErr w:type="gramStart"/>
            <w:r w:rsidRPr="00520EA2">
              <w:t>46 </w:t>
            </w:r>
            <w:proofErr w:type="spellStart"/>
            <w:r w:rsidRPr="00520EA2">
              <w:t>ncı</w:t>
            </w:r>
            <w:proofErr w:type="spellEnd"/>
            <w:proofErr w:type="gramEnd"/>
            <w:r w:rsidRPr="00520EA2">
              <w:t> maddede;</w:t>
            </w:r>
          </w:p>
          <w:p w14:paraId="4A6F6EAC" w14:textId="77777777" w:rsidR="00520EA2" w:rsidRPr="00520EA2" w:rsidRDefault="00520EA2" w:rsidP="00520EA2">
            <w:pPr>
              <w:jc w:val="both"/>
            </w:pPr>
            <w:r w:rsidRPr="00520EA2">
              <w:t>- 2026 Avrupa Futbol Federasyonları Birliği (UEFA) Avrupa Ligi Finali ve 2027 UEFA Konferans Ligi Finali müsabakaları ile 2032 UEFA Avrupa Futbol Şampiyonası organizasyonuna ilişkin olmak üzere UEFA, katılımcı takımlar ve organizasyonda görevli tüzel kişilerden iş yeri, kanuni ve iş merkezi Türkiye’de bulunmayanlara, bu müsabakalar ve organizasyon dolayısıyla yapılacak mal teslimleri ve hizmet ifaları ile bunların bu müsabakalar ve organizasyon dolayısıyla yapacakları mal teslimleri ve hizmet ifalarının KDV’den istisna olduğu,</w:t>
            </w:r>
          </w:p>
          <w:p w14:paraId="2FF59C78" w14:textId="77777777" w:rsidR="00520EA2" w:rsidRPr="00520EA2" w:rsidRDefault="00520EA2" w:rsidP="00520EA2">
            <w:pPr>
              <w:jc w:val="both"/>
            </w:pPr>
            <w:r w:rsidRPr="00520EA2">
              <w:t xml:space="preserve">- Bu kapsamda yapılan mal teslimleri ve hizmet ifaları nedeniyle yüklenilen vergilerin, vergiye tabi işlemler üzerinden hesaplanan vergilerden indirileceği, indirim yoluyla </w:t>
            </w:r>
            <w:r w:rsidRPr="00520EA2">
              <w:lastRenderedPageBreak/>
              <w:t xml:space="preserve">telafi edilemeyen vergilerin 3065 sayılı Kanunun </w:t>
            </w:r>
            <w:proofErr w:type="gramStart"/>
            <w:r w:rsidRPr="00520EA2">
              <w:t>32 nci</w:t>
            </w:r>
            <w:proofErr w:type="gramEnd"/>
            <w:r w:rsidRPr="00520EA2">
              <w:t> maddesi hükmü uyarınca istisna kapsamında işlem yapan mükellefin talebi üzerine iade edileceği,</w:t>
            </w:r>
          </w:p>
          <w:p w14:paraId="7C807537" w14:textId="77777777" w:rsidR="00520EA2" w:rsidRPr="00520EA2" w:rsidRDefault="00520EA2" w:rsidP="00520EA2">
            <w:pPr>
              <w:jc w:val="both"/>
            </w:pPr>
            <w:r w:rsidRPr="00520EA2">
              <w:t>- Hazine ve Maliye Bakanlığının istisna ve iadenin uygulamasına ilişkin usul ve esasları belirlemeye yetkili olduğu,</w:t>
            </w:r>
          </w:p>
          <w:p w14:paraId="671DC613" w14:textId="77777777" w:rsidR="00520EA2" w:rsidRPr="00520EA2" w:rsidRDefault="00520EA2" w:rsidP="00520EA2">
            <w:pPr>
              <w:jc w:val="both"/>
            </w:pPr>
            <w:proofErr w:type="gramStart"/>
            <w:r w:rsidRPr="00520EA2">
              <w:t>hükme</w:t>
            </w:r>
            <w:proofErr w:type="gramEnd"/>
            <w:r w:rsidRPr="00520EA2">
              <w:t> bağlanmıştır.</w:t>
            </w:r>
          </w:p>
          <w:p w14:paraId="7C44B3EB" w14:textId="77777777" w:rsidR="00520EA2" w:rsidRPr="00520EA2" w:rsidRDefault="00520EA2" w:rsidP="00520EA2">
            <w:pPr>
              <w:jc w:val="both"/>
            </w:pPr>
            <w:r w:rsidRPr="00520EA2">
              <w:t>Bu istisna uygulamasına ilişkin usul ve esaslar aşağıda belirlenmiştir.</w:t>
            </w:r>
          </w:p>
          <w:p w14:paraId="72B74996" w14:textId="77777777" w:rsidR="00520EA2" w:rsidRPr="00520EA2" w:rsidRDefault="00520EA2" w:rsidP="00520EA2">
            <w:pPr>
              <w:jc w:val="both"/>
            </w:pPr>
            <w:r w:rsidRPr="00520EA2">
              <w:rPr>
                <w:b/>
                <w:bCs/>
              </w:rPr>
              <w:t>10.1. İstisnanın Uygulanması</w:t>
            </w:r>
          </w:p>
          <w:p w14:paraId="7C8EEC36" w14:textId="77777777" w:rsidR="00520EA2" w:rsidRPr="00520EA2" w:rsidRDefault="00520EA2" w:rsidP="00520EA2">
            <w:pPr>
              <w:jc w:val="both"/>
            </w:pPr>
            <w:r w:rsidRPr="00520EA2">
              <w:t xml:space="preserve">Söz konusu düzenleme tam istisna mahiyetindedir. Türkiye Futbol Federasyonu tarafından, istisna kapsamında mal ve hizmet almak isteyen UEFA, katılımcı takımlar ve organizasyonda görevli tüzel kişilerden iş yeri, kanuni ve iş merkezi Türkiye’de bulunmayanlara 3065 sayılı Kanunun geçici </w:t>
            </w:r>
            <w:proofErr w:type="gramStart"/>
            <w:r w:rsidRPr="00520EA2">
              <w:t>46 </w:t>
            </w:r>
            <w:proofErr w:type="spellStart"/>
            <w:r w:rsidRPr="00520EA2">
              <w:t>ncı</w:t>
            </w:r>
            <w:proofErr w:type="spellEnd"/>
            <w:proofErr w:type="gramEnd"/>
            <w:r w:rsidRPr="00520EA2">
              <w:t> maddesi kapsamında olduklarına yönelik bir yazı verilir. Bu yazı satıcılara ibraz edilerek istisna uygulanması sağlanır. Satıcı firma bu yazıyı 213 sayılı Kanunun muhafaza ve ibraz hükümlerine göre saklar.</w:t>
            </w:r>
          </w:p>
          <w:p w14:paraId="1208C30A" w14:textId="77777777" w:rsidR="00520EA2" w:rsidRPr="00520EA2" w:rsidRDefault="00520EA2" w:rsidP="00520EA2">
            <w:pPr>
              <w:jc w:val="both"/>
            </w:pPr>
            <w:r w:rsidRPr="00520EA2">
              <w:t>İstisna kapsamındaki malların ithalat yoluyla temin edilmesi halinde, yazı ilgili gümrük idaresine ibraz edilmek suretiyle istisnanın uygulanması sağlanır.</w:t>
            </w:r>
          </w:p>
          <w:p w14:paraId="752F0E00" w14:textId="77777777" w:rsidR="00520EA2" w:rsidRPr="00520EA2" w:rsidRDefault="00520EA2" w:rsidP="00520EA2">
            <w:pPr>
              <w:jc w:val="both"/>
            </w:pPr>
            <w:r w:rsidRPr="00520EA2">
              <w:t>UEFA, katılımcı takımlar, organizasyonda görevli tüzel kişilerden iş yeri, kanuni ve iş merkezi Türkiye’de bulunmayanların istisna kapsamındaki teslim ve hizmetlerinde ise KDV hesaplanmaz.</w:t>
            </w:r>
          </w:p>
          <w:p w14:paraId="29391F1F" w14:textId="77777777" w:rsidR="00520EA2" w:rsidRPr="00520EA2" w:rsidRDefault="00520EA2" w:rsidP="00520EA2">
            <w:pPr>
              <w:jc w:val="both"/>
            </w:pPr>
            <w:r w:rsidRPr="00520EA2">
              <w:t>İstisna uygulanan teslim ve hizmetler nedeniyle yüklenilen KDV, satıcılar tarafından indirim konusu yapılabilir. İndirim yoluyla telafi edilemeyen KDV iade edilir.</w:t>
            </w:r>
          </w:p>
          <w:p w14:paraId="0F6BAB53" w14:textId="77777777" w:rsidR="00520EA2" w:rsidRPr="00520EA2" w:rsidRDefault="00520EA2" w:rsidP="00520EA2">
            <w:pPr>
              <w:jc w:val="both"/>
            </w:pPr>
            <w:r w:rsidRPr="00520EA2">
              <w:rPr>
                <w:b/>
                <w:bCs/>
              </w:rPr>
              <w:t>10.2. Müteselsil Sorumluluk</w:t>
            </w:r>
          </w:p>
          <w:p w14:paraId="3098586F" w14:textId="77777777" w:rsidR="00520EA2" w:rsidRPr="00520EA2" w:rsidRDefault="00520EA2" w:rsidP="00520EA2">
            <w:pPr>
              <w:jc w:val="both"/>
            </w:pPr>
            <w:r w:rsidRPr="00520EA2">
              <w:t>UEFA, katılımcı takımlar, organizasyonda görevli tüzel kişilerden iş yeri, kanuni ve iş merkezi Türkiye’de bulunmayanların mal ve hizmet alımlarında istisna kapsamında işlem yapılabilmesi için Türkiye Futbol Federasyonundan alınan yazının satıcıya ibraz edilmesi şarttır.</w:t>
            </w:r>
          </w:p>
          <w:p w14:paraId="5F856686" w14:textId="77777777" w:rsidR="00520EA2" w:rsidRPr="00520EA2" w:rsidRDefault="00520EA2" w:rsidP="00520EA2">
            <w:pPr>
              <w:jc w:val="both"/>
            </w:pPr>
            <w:r w:rsidRPr="00520EA2">
              <w:t xml:space="preserve">Satıcıların bu yazı olmadan istisna uygulamaları halinde, istisna uygulaması nedeniyle ziyaa uğratılan vergi, ceza, zam ve faizlerden alıcılar </w:t>
            </w:r>
            <w:proofErr w:type="gramStart"/>
            <w:r w:rsidRPr="00520EA2">
              <w:t>ile birlikte</w:t>
            </w:r>
            <w:proofErr w:type="gramEnd"/>
            <w:r w:rsidRPr="00520EA2">
              <w:t xml:space="preserve"> satıcılar da </w:t>
            </w:r>
            <w:proofErr w:type="spellStart"/>
            <w:r w:rsidRPr="00520EA2">
              <w:t>müteselsilen</w:t>
            </w:r>
            <w:proofErr w:type="spellEnd"/>
            <w:r w:rsidRPr="00520EA2">
              <w:t> sorumludur.</w:t>
            </w:r>
          </w:p>
          <w:p w14:paraId="1BBB1878" w14:textId="77777777" w:rsidR="00520EA2" w:rsidRPr="00520EA2" w:rsidRDefault="00520EA2" w:rsidP="00520EA2">
            <w:pPr>
              <w:jc w:val="both"/>
            </w:pPr>
            <w:r w:rsidRPr="00520EA2">
              <w:t xml:space="preserve">İşlemin istisna için belirlenen şartları baştan taşımadığı ya da şartların daha sonra ihlal edildiğinin tespiti halinde, ziyaa uğratılan vergi ile buna bağlı ceza, faiz ve zamlar, kendisine istisna kapsamında teslim veya hizmet yapılan alıcıdan aranır. İstisna belgesinin istisna kapsamında olmayanlara verilmesi halinde, ziyaa uğratılan vergi ile buna bağlı ceza, faiz ve zamlardan alıcı </w:t>
            </w:r>
            <w:proofErr w:type="gramStart"/>
            <w:r w:rsidRPr="00520EA2">
              <w:t>ile birlikte</w:t>
            </w:r>
            <w:proofErr w:type="gramEnd"/>
            <w:r w:rsidRPr="00520EA2">
              <w:t xml:space="preserve"> Türkiye Futbol Federasyonu da sorumludur.</w:t>
            </w:r>
          </w:p>
          <w:p w14:paraId="73A67BBF" w14:textId="77777777" w:rsidR="00520EA2" w:rsidRPr="00520EA2" w:rsidRDefault="00520EA2" w:rsidP="00520EA2">
            <w:pPr>
              <w:jc w:val="both"/>
            </w:pPr>
            <w:r w:rsidRPr="00520EA2">
              <w:rPr>
                <w:b/>
                <w:bCs/>
              </w:rPr>
              <w:lastRenderedPageBreak/>
              <w:t>10.3. İstisnanın Beyanı</w:t>
            </w:r>
          </w:p>
          <w:p w14:paraId="54E64B84" w14:textId="77777777" w:rsidR="00520EA2" w:rsidRPr="00520EA2" w:rsidRDefault="00520EA2" w:rsidP="00520EA2">
            <w:pPr>
              <w:jc w:val="both"/>
            </w:pPr>
            <w:r w:rsidRPr="00520EA2">
              <w:t>İstisna kapsamında yapılan teslim ve hizmetler KDV beyannamesinde yer alan “İstisnalar-Diğer İade Hakkı Doğuran İşlemler” kulakçığının, “Tam İstisna Kapsamına Giren İşlemler” tablosunda, 336 kod numaralı “UEFA Müsabakaları Kapsamında Yapılacak Teslim ve Hizmetler” satırı aracılığıyla beyan edilir.</w:t>
            </w:r>
          </w:p>
          <w:p w14:paraId="21EBEDFB" w14:textId="77777777" w:rsidR="00520EA2" w:rsidRPr="00520EA2" w:rsidRDefault="00520EA2" w:rsidP="00520EA2">
            <w:pPr>
              <w:jc w:val="both"/>
            </w:pPr>
            <w:r w:rsidRPr="00520EA2">
              <w:t>Bu satırın “Teslim ve Hizmet Tutarı” sütununa istisnaya konu işlem bedeli, “Yüklenilen KDV” sütununa bu işlemle ilgili alım ve giderlere ait belgelerde gösterilen toplam KDV tutarı yazılır.</w:t>
            </w:r>
          </w:p>
          <w:p w14:paraId="731586A7" w14:textId="77777777" w:rsidR="00520EA2" w:rsidRPr="00520EA2" w:rsidRDefault="00520EA2" w:rsidP="00520EA2">
            <w:pPr>
              <w:jc w:val="both"/>
            </w:pPr>
            <w:r w:rsidRPr="00520EA2">
              <w:t>İade talep etmek istemeyen mükellefler, “Yüklenilen KDV” sütununa ilişkin alana “0” yazar.</w:t>
            </w:r>
          </w:p>
          <w:p w14:paraId="1BDBB805" w14:textId="77777777" w:rsidR="00520EA2" w:rsidRPr="00520EA2" w:rsidRDefault="00520EA2" w:rsidP="00520EA2">
            <w:pPr>
              <w:jc w:val="both"/>
            </w:pPr>
            <w:r w:rsidRPr="00520EA2">
              <w:rPr>
                <w:b/>
                <w:bCs/>
              </w:rPr>
              <w:t>10.4. İade</w:t>
            </w:r>
          </w:p>
          <w:p w14:paraId="572F5B53" w14:textId="77777777" w:rsidR="00520EA2" w:rsidRPr="00520EA2" w:rsidRDefault="00520EA2" w:rsidP="00520EA2">
            <w:pPr>
              <w:jc w:val="both"/>
            </w:pPr>
            <w:r w:rsidRPr="00520EA2">
              <w:t>Bu istisnadan kaynaklanan iade taleplerinde aşağıdaki belgeler aranır:</w:t>
            </w:r>
          </w:p>
          <w:p w14:paraId="4ECF723E" w14:textId="77777777" w:rsidR="00520EA2" w:rsidRPr="00520EA2" w:rsidRDefault="00520EA2" w:rsidP="00520EA2">
            <w:pPr>
              <w:jc w:val="both"/>
            </w:pPr>
            <w:r w:rsidRPr="00520EA2">
              <w:t>- Standart iade talep dilekçesi</w:t>
            </w:r>
          </w:p>
          <w:p w14:paraId="075E8E5E" w14:textId="77777777" w:rsidR="00520EA2" w:rsidRPr="00520EA2" w:rsidRDefault="00520EA2" w:rsidP="00520EA2">
            <w:pPr>
              <w:jc w:val="both"/>
            </w:pPr>
            <w:r w:rsidRPr="00520EA2">
              <w:t>- İstisnanın beyan edildiği döneme ilişkin indirilecek KDV listesi</w:t>
            </w:r>
          </w:p>
          <w:p w14:paraId="51885775" w14:textId="77777777" w:rsidR="00520EA2" w:rsidRPr="00520EA2" w:rsidRDefault="00520EA2" w:rsidP="00520EA2">
            <w:pPr>
              <w:jc w:val="both"/>
            </w:pPr>
            <w:r w:rsidRPr="00520EA2">
              <w:t>- İade hakkı doğuran işleme ait yüklenilen KDV listesi</w:t>
            </w:r>
          </w:p>
          <w:p w14:paraId="768FFCE4" w14:textId="77777777" w:rsidR="00520EA2" w:rsidRPr="00520EA2" w:rsidRDefault="00520EA2" w:rsidP="00520EA2">
            <w:pPr>
              <w:jc w:val="both"/>
            </w:pPr>
            <w:r w:rsidRPr="00520EA2">
              <w:t>- İadesi talep edilen KDV hesaplama tablosu</w:t>
            </w:r>
          </w:p>
          <w:p w14:paraId="0CE5AB6C" w14:textId="77777777" w:rsidR="00520EA2" w:rsidRPr="00520EA2" w:rsidRDefault="00520EA2" w:rsidP="00520EA2">
            <w:pPr>
              <w:jc w:val="both"/>
            </w:pPr>
            <w:r w:rsidRPr="00520EA2">
              <w:t>- Satış faturaları listesi</w:t>
            </w:r>
          </w:p>
          <w:p w14:paraId="61EDF39F" w14:textId="77777777" w:rsidR="00520EA2" w:rsidRPr="00520EA2" w:rsidRDefault="00520EA2" w:rsidP="00520EA2">
            <w:pPr>
              <w:jc w:val="both"/>
            </w:pPr>
            <w:r w:rsidRPr="00520EA2">
              <w:t>- Türkiye Futbol Federasyonundan alınan yazı örneği</w:t>
            </w:r>
          </w:p>
          <w:p w14:paraId="00A80D1B" w14:textId="77777777" w:rsidR="00520EA2" w:rsidRPr="00520EA2" w:rsidRDefault="00520EA2" w:rsidP="00520EA2">
            <w:pPr>
              <w:jc w:val="both"/>
            </w:pPr>
            <w:r w:rsidRPr="00520EA2">
              <w:rPr>
                <w:b/>
                <w:bCs/>
              </w:rPr>
              <w:t>10.4.1. Mahsuben İade</w:t>
            </w:r>
          </w:p>
          <w:p w14:paraId="4A0B7F54" w14:textId="77777777" w:rsidR="00520EA2" w:rsidRPr="00520EA2" w:rsidRDefault="00520EA2" w:rsidP="00520EA2">
            <w:pPr>
              <w:jc w:val="both"/>
            </w:pPr>
            <w:r w:rsidRPr="00520EA2">
              <w:t>Mükelleflerin bu işlemden kaynaklanan mahsuben iade talepleri, yukarıdaki belgelerin ibraz edilmiş olması halinde miktarına bakılmaksızın vergi inceleme raporu, YMM raporu ve teminat aranmadan yerine getirilir.</w:t>
            </w:r>
          </w:p>
          <w:p w14:paraId="36208E09" w14:textId="77777777" w:rsidR="00520EA2" w:rsidRPr="00520EA2" w:rsidRDefault="00520EA2" w:rsidP="00520EA2">
            <w:pPr>
              <w:jc w:val="both"/>
            </w:pPr>
            <w:r w:rsidRPr="00520EA2">
              <w:rPr>
                <w:b/>
                <w:bCs/>
              </w:rPr>
              <w:t>10.4.2. Nakden İade</w:t>
            </w:r>
          </w:p>
          <w:p w14:paraId="19F5D061" w14:textId="77777777" w:rsidR="00520EA2" w:rsidRPr="00520EA2" w:rsidRDefault="00520EA2" w:rsidP="00520EA2">
            <w:pPr>
              <w:jc w:val="both"/>
            </w:pPr>
            <w:r w:rsidRPr="00520EA2">
              <w:t>Mükelleflerin bu işlemden kaynaklanan ve 50.000 TL’yi aşmayan nakden iade talepleri vergi inceleme raporu, YMM raporu ve teminat aranmadan yerine getirilir. İade talebinin 50.000 TL’yi aşması halinde aşan kısmın iadesi, vergi inceleme raporu veya YMM raporuna göre yerine getirilir. Teminat verilmesi halinde, mükellefin iade talebi yerine getirilir ve teminat vergi inceleme raporu veya YMM raporu sonucuna göre çözülür.”</w:t>
            </w:r>
          </w:p>
          <w:p w14:paraId="0647DC4E" w14:textId="77777777" w:rsidR="00520EA2" w:rsidRPr="00520EA2" w:rsidRDefault="00520EA2" w:rsidP="00520EA2">
            <w:pPr>
              <w:jc w:val="both"/>
            </w:pPr>
            <w:r w:rsidRPr="00520EA2">
              <w:rPr>
                <w:b/>
                <w:bCs/>
              </w:rPr>
              <w:t>MADDE 4- </w:t>
            </w:r>
            <w:r w:rsidRPr="00520EA2">
              <w:t>Aynı Tebliğin (II/F-4.15.) bölümünün başlığı ile beşinci, yedinci ve sekizinci paragrafları sırasıyla aşağıdaki şekilde değiştirilmiş ve aynı bölümün dördüncü paragrafı yürürlükten kaldırılmıştır.</w:t>
            </w:r>
          </w:p>
          <w:p w14:paraId="0DDB3F42" w14:textId="77777777" w:rsidR="00520EA2" w:rsidRPr="00520EA2" w:rsidRDefault="00520EA2" w:rsidP="00520EA2">
            <w:pPr>
              <w:jc w:val="both"/>
            </w:pPr>
            <w:r w:rsidRPr="00520EA2">
              <w:rPr>
                <w:b/>
                <w:bCs/>
              </w:rPr>
              <w:lastRenderedPageBreak/>
              <w:t>“4.15. Hazinenin Taşınmaz Teslimi ve Kiralamaları, İrtifak Hakkı Tesisi, Kullanma İzni ve Ön İzin Verilmesi İşlemleri, Kentsel Dönüşüm Başkanlığı ile Toplu Konut İdaresi (TOKİ) Başkanlığının Arsa ve Arazi Teslimleri, Belediyeler, İl Özel İdareleri ve Yatırım İzleme ve Koordinasyon Başkanlıklarının Taşınmaz Satışları ile Vakıflar Genel Müdürlüğünün Yönettiği ve Temsil Ettiği Mazbut Vakıfların Mülkiyetinde Bulunan Taşınmazların Satışları”</w:t>
            </w:r>
          </w:p>
          <w:p w14:paraId="2F166CD1" w14:textId="77777777" w:rsidR="00520EA2" w:rsidRPr="00520EA2" w:rsidRDefault="00520EA2" w:rsidP="00520EA2">
            <w:pPr>
              <w:jc w:val="both"/>
            </w:pPr>
            <w:r w:rsidRPr="00520EA2">
              <w:t>“3065 sayılı Kanunun (17/4-p) maddesine göre, belediyeler, il özel idareleri ve yatırım izleme ve koordinasyon başkanlıklarının mülkiyetindeki taşınmazların satışı (belediyeler, il özel idareleri ve yatırım izleme ve koordinasyon başkanlıklarının bünyelerinde oluşan iktisadi işletmelerin taşınmaz satışları hariç) KDV’den istisnadır.”</w:t>
            </w:r>
          </w:p>
          <w:p w14:paraId="0A595D5A" w14:textId="77777777" w:rsidR="00520EA2" w:rsidRPr="00520EA2" w:rsidRDefault="00520EA2" w:rsidP="00520EA2">
            <w:pPr>
              <w:jc w:val="both"/>
            </w:pPr>
            <w:r w:rsidRPr="00520EA2">
              <w:t>“Belediyeler, il özel idareleri veya yatırım izleme ve koordinasyon başkanlıklarının bünyesinde bir iktisadi işletme oluşması halinde KDV mükellefiyetinin, belediyeler, il özel idareleri veya yatırım izleme ve koordinasyon başkanlıklarının adına değil, bunların bünyesinde oluşan iktisadi işletme adına tesis edilmesi gerekmektedir. Belediyeler, il özel idareleri veya yatırım izleme ve koordinasyon başkanlıklarına ilişkin mükellefiyet tesisinde, söz konusu iktisadi işletmelerin faaliyet konuları dikkate alınacak ve unvanında faaliyet konusuna yer verilecektir.</w:t>
            </w:r>
          </w:p>
          <w:p w14:paraId="215F0DDA" w14:textId="77777777" w:rsidR="00520EA2" w:rsidRPr="00520EA2" w:rsidRDefault="00520EA2" w:rsidP="00520EA2">
            <w:pPr>
              <w:jc w:val="both"/>
            </w:pPr>
            <w:r w:rsidRPr="00520EA2">
              <w:t>Buna göre, belediyeler, il özel idareleri ve yatırım izleme ve koordinasyon başkanlıklarının bünyelerinde oluşan iktisadi işletmelerin taşınmaz satışları, 3065 sayılı Kanunun (17/4-p) maddesindeki istisna kapsamında değerlendirilmeyeceğinden, söz konusu iktisadi işletmelerin taşınmaz satışlarında genel hükümlere göre KDV uygulanacaktır.”</w:t>
            </w:r>
          </w:p>
          <w:p w14:paraId="56A33AF6" w14:textId="77777777" w:rsidR="00520EA2" w:rsidRPr="00520EA2" w:rsidRDefault="00520EA2" w:rsidP="00520EA2">
            <w:pPr>
              <w:jc w:val="both"/>
            </w:pPr>
            <w:r w:rsidRPr="00520EA2">
              <w:rPr>
                <w:b/>
                <w:bCs/>
              </w:rPr>
              <w:t>MADDE 5- </w:t>
            </w:r>
            <w:r w:rsidRPr="00520EA2">
              <w:t>Aynı Tebliğin (III/C-2.5.) bölümünden sonra gelmek üzere aşağıdaki bölüm eklenmiştir.</w:t>
            </w:r>
          </w:p>
          <w:p w14:paraId="4F19D63E" w14:textId="77777777" w:rsidR="00520EA2" w:rsidRPr="00520EA2" w:rsidRDefault="00520EA2" w:rsidP="00520EA2">
            <w:pPr>
              <w:jc w:val="both"/>
            </w:pPr>
            <w:r w:rsidRPr="00520EA2">
              <w:rPr>
                <w:b/>
                <w:bCs/>
              </w:rPr>
              <w:t>“2.6. İthalatta Gözetim Uygulanması, Korunma Önlemleri ve İthalatta Haksız Rekabetin Önlenmesi Hakkında İlgili Mevzuat Kapsamında Ödenen KDV’nin İndirimi</w:t>
            </w:r>
          </w:p>
          <w:p w14:paraId="2D3CF16D" w14:textId="77777777" w:rsidR="00520EA2" w:rsidRPr="00520EA2" w:rsidRDefault="00520EA2" w:rsidP="00520EA2">
            <w:pPr>
              <w:jc w:val="both"/>
            </w:pPr>
            <w:r w:rsidRPr="00520EA2">
              <w:t>24/11/2023 tarihli ve 32379 sayılı Resmî Gazete’de yayımlanan 23/11/2023 tarihli ve 7846 sayılı Cumhurbaşkanı Kararı eki Kararda;</w:t>
            </w:r>
          </w:p>
          <w:p w14:paraId="1606A177" w14:textId="77777777" w:rsidR="00520EA2" w:rsidRPr="00520EA2" w:rsidRDefault="00520EA2" w:rsidP="00520EA2">
            <w:pPr>
              <w:jc w:val="both"/>
            </w:pPr>
            <w:r w:rsidRPr="00520EA2">
              <w:t>“(1) İthalatta gözetim uygulanması hakkında ilgili mevzuat uyarınca, gözetim uygulamasına tabi tutulan mallara ilişkin gümrük beyannamelerinde beyan olunan ve tevsik edilemeyen tutarlar ile bu tutarlar nedeniyle doğan ve katma değer vergisi matrahına dâhil olan her türlü vergi, resim, harç ve paylar dolayısıyla ödenen katma değer vergisinin indirim hakkı kaldırılmıştır.</w:t>
            </w:r>
          </w:p>
          <w:p w14:paraId="176D14EB" w14:textId="77777777" w:rsidR="00520EA2" w:rsidRPr="00520EA2" w:rsidRDefault="00520EA2" w:rsidP="00520EA2">
            <w:pPr>
              <w:jc w:val="both"/>
            </w:pPr>
            <w:r w:rsidRPr="00520EA2">
              <w:t xml:space="preserve">(2) İthalatta korunma önlemleri uygulanması hakkında ilgili mevzuat uyarınca korunma önlemi olarak uygulanan gümrük vergisi ve/veya ek mali mükellefiyetler, </w:t>
            </w:r>
            <w:r w:rsidRPr="00520EA2">
              <w:lastRenderedPageBreak/>
              <w:t>ithalatta haksız rekabetin önlenmesi hakkında ilgili mevzuat kapsamında uygulanan dampinge karşı vergi ve telafi edici vergiler ile bu tutarlar nedeniyle doğan ve katma değer vergisi matrahına dâhil olan her türlü vergi, resim, harç ve paylar dolayısıyla ödenen katma değer vergisinin indirim hakkı kaldırılmıştır.”</w:t>
            </w:r>
          </w:p>
          <w:p w14:paraId="4EC8482C" w14:textId="77777777" w:rsidR="00520EA2" w:rsidRPr="00520EA2" w:rsidRDefault="00520EA2" w:rsidP="00520EA2">
            <w:pPr>
              <w:jc w:val="both"/>
            </w:pPr>
            <w:proofErr w:type="gramStart"/>
            <w:r w:rsidRPr="00520EA2">
              <w:t>hükmüne</w:t>
            </w:r>
            <w:proofErr w:type="gramEnd"/>
            <w:r w:rsidRPr="00520EA2">
              <w:t> yer verilmiştir.</w:t>
            </w:r>
          </w:p>
          <w:p w14:paraId="7485A0CA" w14:textId="77777777" w:rsidR="00520EA2" w:rsidRPr="00520EA2" w:rsidRDefault="00520EA2" w:rsidP="00520EA2">
            <w:pPr>
              <w:jc w:val="both"/>
            </w:pPr>
            <w:r w:rsidRPr="00520EA2">
              <w:rPr>
                <w:b/>
                <w:bCs/>
              </w:rPr>
              <w:t>2.6.1. Genel Açıklama</w:t>
            </w:r>
          </w:p>
          <w:p w14:paraId="4576594C" w14:textId="77777777" w:rsidR="00520EA2" w:rsidRPr="00520EA2" w:rsidRDefault="00520EA2" w:rsidP="00520EA2">
            <w:pPr>
              <w:jc w:val="both"/>
            </w:pPr>
            <w:r w:rsidRPr="00520EA2">
              <w:t>7846 sayılı Cumhurbaşkanı Kararına göre, ithalatta gözetim uygulaması, ithalatta korunma önlemleri ve ithalatta haksız rekabetin önlenmesine ilişkin mevzuat kapsamında ithal edilen malların KDV matrahında bu uygulamalar nedeniyle ortaya çıkan artış tutarları ile bu artış tutarlarına ilişkin her türlü vergi, resim, harç ve paylar dolayısıyla ödenen KDV’nin indirim konusu yapılması mümkün değildir.</w:t>
            </w:r>
          </w:p>
          <w:p w14:paraId="684C9272" w14:textId="77777777" w:rsidR="00520EA2" w:rsidRPr="00520EA2" w:rsidRDefault="00520EA2" w:rsidP="00520EA2">
            <w:pPr>
              <w:jc w:val="both"/>
            </w:pPr>
            <w:r w:rsidRPr="00520EA2">
              <w:t>Ancak, söz konusu uygulamalar kapsamında ithal edilen mallara ilişkin KDV matrahında bu uygulamalar dışında kalan bedeller ile bu bedellere ilişkin her türlü vergi, resim, harç ve paylar dolayısıyla ödenen KDV’nin indirim konusu yapılması mümkündür.</w:t>
            </w:r>
          </w:p>
          <w:p w14:paraId="5C9B1773" w14:textId="77777777" w:rsidR="00520EA2" w:rsidRPr="00520EA2" w:rsidRDefault="00520EA2" w:rsidP="00520EA2">
            <w:pPr>
              <w:jc w:val="both"/>
            </w:pPr>
            <w:r w:rsidRPr="00520EA2">
              <w:rPr>
                <w:b/>
                <w:bCs/>
              </w:rPr>
              <w:t>Örnek: </w:t>
            </w:r>
            <w:r w:rsidRPr="00520EA2">
              <w:t>(A) A.Ş. ithalatta gözetim uygulaması kapsamında CIF bedeli 4.000.000 TL, gözetim bedeli ise 10.000.000 TL olan (Z) ürününü ithal etmektedir. İthal edilen ürüne ilişkin %10 oranında gümrük vergisi (GV), %15 oranında ilave gümrük vergisi (İGV) ve %20 oranında KDV ödenmiştir. Gözetim uygulaması nedeniyle oluşan ve tevsik edilemeyen tutar ithalata ilişkin gümrük beyannamesinde yurt dışı gider olarak beyan edilmiştir. Buna göre ithalatta gözetim uygulaması kapsamında indirilemeyecek KDV ile indirilebilecek KDV tutarları aşağıdaki şekilde hesaplanacaktır:</w:t>
            </w:r>
          </w:p>
          <w:tbl>
            <w:tblPr>
              <w:tblW w:w="0" w:type="auto"/>
              <w:tblInd w:w="530" w:type="dxa"/>
              <w:tblCellMar>
                <w:left w:w="0" w:type="dxa"/>
                <w:right w:w="0" w:type="dxa"/>
              </w:tblCellMar>
              <w:tblLook w:val="04A0" w:firstRow="1" w:lastRow="0" w:firstColumn="1" w:lastColumn="0" w:noHBand="0" w:noVBand="1"/>
            </w:tblPr>
            <w:tblGrid>
              <w:gridCol w:w="3435"/>
              <w:gridCol w:w="285"/>
              <w:gridCol w:w="1385"/>
            </w:tblGrid>
            <w:tr w:rsidR="00520EA2" w:rsidRPr="00520EA2" w14:paraId="64F5FD78" w14:textId="77777777">
              <w:tc>
                <w:tcPr>
                  <w:tcW w:w="3435" w:type="dxa"/>
                  <w:tcMar>
                    <w:top w:w="0" w:type="dxa"/>
                    <w:left w:w="108" w:type="dxa"/>
                    <w:bottom w:w="0" w:type="dxa"/>
                    <w:right w:w="108" w:type="dxa"/>
                  </w:tcMar>
                  <w:hideMark/>
                </w:tcPr>
                <w:p w14:paraId="44DF702B" w14:textId="77777777" w:rsidR="00520EA2" w:rsidRPr="00520EA2" w:rsidRDefault="00520EA2" w:rsidP="00520EA2">
                  <w:pPr>
                    <w:jc w:val="both"/>
                  </w:pPr>
                  <w:r w:rsidRPr="00520EA2">
                    <w:rPr>
                      <w:i/>
                      <w:iCs/>
                    </w:rPr>
                    <w:t>Gümrük Vergisi Matrahı</w:t>
                  </w:r>
                </w:p>
              </w:tc>
              <w:tc>
                <w:tcPr>
                  <w:tcW w:w="276" w:type="dxa"/>
                  <w:tcMar>
                    <w:top w:w="0" w:type="dxa"/>
                    <w:left w:w="108" w:type="dxa"/>
                    <w:bottom w:w="0" w:type="dxa"/>
                    <w:right w:w="108" w:type="dxa"/>
                  </w:tcMar>
                  <w:hideMark/>
                </w:tcPr>
                <w:p w14:paraId="4ADEEFD9"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65A42395" w14:textId="77777777" w:rsidR="00520EA2" w:rsidRPr="00520EA2" w:rsidRDefault="00520EA2" w:rsidP="00520EA2">
                  <w:pPr>
                    <w:jc w:val="both"/>
                  </w:pPr>
                  <w:r w:rsidRPr="00520EA2">
                    <w:rPr>
                      <w:i/>
                      <w:iCs/>
                    </w:rPr>
                    <w:t>10.000.000 TL</w:t>
                  </w:r>
                </w:p>
              </w:tc>
            </w:tr>
            <w:tr w:rsidR="00520EA2" w:rsidRPr="00520EA2" w14:paraId="4EA71ED4" w14:textId="77777777">
              <w:tc>
                <w:tcPr>
                  <w:tcW w:w="3435" w:type="dxa"/>
                  <w:tcMar>
                    <w:top w:w="0" w:type="dxa"/>
                    <w:left w:w="108" w:type="dxa"/>
                    <w:bottom w:w="0" w:type="dxa"/>
                    <w:right w:w="108" w:type="dxa"/>
                  </w:tcMar>
                  <w:hideMark/>
                </w:tcPr>
                <w:p w14:paraId="4C09C57A" w14:textId="77777777" w:rsidR="00520EA2" w:rsidRPr="00520EA2" w:rsidRDefault="00520EA2" w:rsidP="00520EA2">
                  <w:pPr>
                    <w:jc w:val="both"/>
                  </w:pPr>
                  <w:r w:rsidRPr="00520EA2">
                    <w:rPr>
                      <w:i/>
                      <w:iCs/>
                    </w:rPr>
                    <w:t>Gümrük Vergisi (%10)</w:t>
                  </w:r>
                </w:p>
              </w:tc>
              <w:tc>
                <w:tcPr>
                  <w:tcW w:w="276" w:type="dxa"/>
                  <w:tcMar>
                    <w:top w:w="0" w:type="dxa"/>
                    <w:left w:w="108" w:type="dxa"/>
                    <w:bottom w:w="0" w:type="dxa"/>
                    <w:right w:w="108" w:type="dxa"/>
                  </w:tcMar>
                  <w:hideMark/>
                </w:tcPr>
                <w:p w14:paraId="2DE9ADD7"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78BEE6BF" w14:textId="77777777" w:rsidR="00520EA2" w:rsidRPr="00520EA2" w:rsidRDefault="00520EA2" w:rsidP="00520EA2">
                  <w:pPr>
                    <w:jc w:val="both"/>
                  </w:pPr>
                  <w:r w:rsidRPr="00520EA2">
                    <w:rPr>
                      <w:i/>
                      <w:iCs/>
                    </w:rPr>
                    <w:t>1.000.000 TL</w:t>
                  </w:r>
                </w:p>
              </w:tc>
            </w:tr>
            <w:tr w:rsidR="00520EA2" w:rsidRPr="00520EA2" w14:paraId="2D60EC6E" w14:textId="77777777">
              <w:tc>
                <w:tcPr>
                  <w:tcW w:w="3435" w:type="dxa"/>
                  <w:tcMar>
                    <w:top w:w="0" w:type="dxa"/>
                    <w:left w:w="108" w:type="dxa"/>
                    <w:bottom w:w="0" w:type="dxa"/>
                    <w:right w:w="108" w:type="dxa"/>
                  </w:tcMar>
                  <w:hideMark/>
                </w:tcPr>
                <w:p w14:paraId="7C568527" w14:textId="77777777" w:rsidR="00520EA2" w:rsidRPr="00520EA2" w:rsidRDefault="00520EA2" w:rsidP="00520EA2">
                  <w:pPr>
                    <w:jc w:val="both"/>
                  </w:pPr>
                  <w:r w:rsidRPr="00520EA2">
                    <w:rPr>
                      <w:i/>
                      <w:iCs/>
                    </w:rPr>
                    <w:t>İlave Gümrük Vergisi (%15)</w:t>
                  </w:r>
                </w:p>
              </w:tc>
              <w:tc>
                <w:tcPr>
                  <w:tcW w:w="276" w:type="dxa"/>
                  <w:tcMar>
                    <w:top w:w="0" w:type="dxa"/>
                    <w:left w:w="108" w:type="dxa"/>
                    <w:bottom w:w="0" w:type="dxa"/>
                    <w:right w:w="108" w:type="dxa"/>
                  </w:tcMar>
                  <w:hideMark/>
                </w:tcPr>
                <w:p w14:paraId="1E3F16B7"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75573388" w14:textId="77777777" w:rsidR="00520EA2" w:rsidRPr="00520EA2" w:rsidRDefault="00520EA2" w:rsidP="00520EA2">
                  <w:pPr>
                    <w:jc w:val="both"/>
                  </w:pPr>
                  <w:r w:rsidRPr="00520EA2">
                    <w:rPr>
                      <w:i/>
                      <w:iCs/>
                    </w:rPr>
                    <w:t>1.500.000 TL</w:t>
                  </w:r>
                </w:p>
              </w:tc>
            </w:tr>
            <w:tr w:rsidR="00520EA2" w:rsidRPr="00520EA2" w14:paraId="04324207" w14:textId="77777777">
              <w:tc>
                <w:tcPr>
                  <w:tcW w:w="3435" w:type="dxa"/>
                  <w:tcMar>
                    <w:top w:w="0" w:type="dxa"/>
                    <w:left w:w="108" w:type="dxa"/>
                    <w:bottom w:w="0" w:type="dxa"/>
                    <w:right w:w="108" w:type="dxa"/>
                  </w:tcMar>
                  <w:hideMark/>
                </w:tcPr>
                <w:p w14:paraId="7A5B13E5" w14:textId="77777777" w:rsidR="00520EA2" w:rsidRPr="00520EA2" w:rsidRDefault="00520EA2" w:rsidP="00520EA2">
                  <w:pPr>
                    <w:jc w:val="both"/>
                  </w:pPr>
                  <w:r w:rsidRPr="00520EA2">
                    <w:rPr>
                      <w:i/>
                      <w:iCs/>
                    </w:rPr>
                    <w:t>KDV Matrahı</w:t>
                  </w:r>
                </w:p>
              </w:tc>
              <w:tc>
                <w:tcPr>
                  <w:tcW w:w="276" w:type="dxa"/>
                  <w:tcMar>
                    <w:top w:w="0" w:type="dxa"/>
                    <w:left w:w="108" w:type="dxa"/>
                    <w:bottom w:w="0" w:type="dxa"/>
                    <w:right w:w="108" w:type="dxa"/>
                  </w:tcMar>
                  <w:hideMark/>
                </w:tcPr>
                <w:p w14:paraId="13173387"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7C2074EA" w14:textId="77777777" w:rsidR="00520EA2" w:rsidRPr="00520EA2" w:rsidRDefault="00520EA2" w:rsidP="00520EA2">
                  <w:pPr>
                    <w:jc w:val="both"/>
                  </w:pPr>
                  <w:r w:rsidRPr="00520EA2">
                    <w:rPr>
                      <w:i/>
                      <w:iCs/>
                    </w:rPr>
                    <w:t>12.500.000 TL</w:t>
                  </w:r>
                </w:p>
              </w:tc>
            </w:tr>
            <w:tr w:rsidR="00520EA2" w:rsidRPr="00520EA2" w14:paraId="0682F64B" w14:textId="77777777">
              <w:tc>
                <w:tcPr>
                  <w:tcW w:w="3435" w:type="dxa"/>
                  <w:tcMar>
                    <w:top w:w="0" w:type="dxa"/>
                    <w:left w:w="108" w:type="dxa"/>
                    <w:bottom w:w="0" w:type="dxa"/>
                    <w:right w:w="108" w:type="dxa"/>
                  </w:tcMar>
                  <w:hideMark/>
                </w:tcPr>
                <w:p w14:paraId="171BB454" w14:textId="77777777" w:rsidR="00520EA2" w:rsidRPr="00520EA2" w:rsidRDefault="00520EA2" w:rsidP="00520EA2">
                  <w:pPr>
                    <w:jc w:val="both"/>
                  </w:pPr>
                  <w:r w:rsidRPr="00520EA2">
                    <w:rPr>
                      <w:i/>
                      <w:iCs/>
                    </w:rPr>
                    <w:t>KDV (%20)</w:t>
                  </w:r>
                </w:p>
              </w:tc>
              <w:tc>
                <w:tcPr>
                  <w:tcW w:w="276" w:type="dxa"/>
                  <w:tcMar>
                    <w:top w:w="0" w:type="dxa"/>
                    <w:left w:w="108" w:type="dxa"/>
                    <w:bottom w:w="0" w:type="dxa"/>
                    <w:right w:w="108" w:type="dxa"/>
                  </w:tcMar>
                  <w:hideMark/>
                </w:tcPr>
                <w:p w14:paraId="1CE1AD52"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18C2DC1D" w14:textId="77777777" w:rsidR="00520EA2" w:rsidRPr="00520EA2" w:rsidRDefault="00520EA2" w:rsidP="00520EA2">
                  <w:pPr>
                    <w:jc w:val="both"/>
                  </w:pPr>
                  <w:r w:rsidRPr="00520EA2">
                    <w:rPr>
                      <w:i/>
                      <w:iCs/>
                    </w:rPr>
                    <w:t>2.500.000 TL</w:t>
                  </w:r>
                </w:p>
              </w:tc>
            </w:tr>
            <w:tr w:rsidR="00520EA2" w:rsidRPr="00520EA2" w14:paraId="5476A4A9" w14:textId="77777777">
              <w:tc>
                <w:tcPr>
                  <w:tcW w:w="3435" w:type="dxa"/>
                  <w:tcMar>
                    <w:top w:w="0" w:type="dxa"/>
                    <w:left w:w="108" w:type="dxa"/>
                    <w:bottom w:w="0" w:type="dxa"/>
                    <w:right w:w="108" w:type="dxa"/>
                  </w:tcMar>
                  <w:hideMark/>
                </w:tcPr>
                <w:p w14:paraId="692F3FBC" w14:textId="77777777" w:rsidR="00520EA2" w:rsidRPr="00520EA2" w:rsidRDefault="00520EA2" w:rsidP="00520EA2">
                  <w:pPr>
                    <w:jc w:val="both"/>
                  </w:pPr>
                  <w:r w:rsidRPr="00520EA2">
                    <w:rPr>
                      <w:i/>
                      <w:iCs/>
                    </w:rPr>
                    <w:t> </w:t>
                  </w:r>
                </w:p>
              </w:tc>
              <w:tc>
                <w:tcPr>
                  <w:tcW w:w="276" w:type="dxa"/>
                  <w:tcMar>
                    <w:top w:w="0" w:type="dxa"/>
                    <w:left w:w="108" w:type="dxa"/>
                    <w:bottom w:w="0" w:type="dxa"/>
                    <w:right w:w="108" w:type="dxa"/>
                  </w:tcMar>
                  <w:hideMark/>
                </w:tcPr>
                <w:p w14:paraId="54ACFABE" w14:textId="77777777" w:rsidR="00520EA2" w:rsidRPr="00520EA2" w:rsidRDefault="00520EA2" w:rsidP="00520EA2">
                  <w:pPr>
                    <w:jc w:val="both"/>
                  </w:pPr>
                  <w:r w:rsidRPr="00520EA2">
                    <w:rPr>
                      <w:i/>
                      <w:iCs/>
                    </w:rPr>
                    <w:t> </w:t>
                  </w:r>
                </w:p>
              </w:tc>
              <w:tc>
                <w:tcPr>
                  <w:tcW w:w="1385" w:type="dxa"/>
                  <w:tcMar>
                    <w:top w:w="0" w:type="dxa"/>
                    <w:left w:w="108" w:type="dxa"/>
                    <w:bottom w:w="0" w:type="dxa"/>
                    <w:right w:w="108" w:type="dxa"/>
                  </w:tcMar>
                  <w:hideMark/>
                </w:tcPr>
                <w:p w14:paraId="0B1C3700" w14:textId="77777777" w:rsidR="00520EA2" w:rsidRPr="00520EA2" w:rsidRDefault="00520EA2" w:rsidP="00520EA2">
                  <w:pPr>
                    <w:jc w:val="both"/>
                  </w:pPr>
                  <w:r w:rsidRPr="00520EA2">
                    <w:rPr>
                      <w:i/>
                      <w:iCs/>
                    </w:rPr>
                    <w:t> </w:t>
                  </w:r>
                </w:p>
              </w:tc>
            </w:tr>
            <w:tr w:rsidR="00520EA2" w:rsidRPr="00520EA2" w14:paraId="6D5DA0F5" w14:textId="77777777">
              <w:tc>
                <w:tcPr>
                  <w:tcW w:w="3435" w:type="dxa"/>
                  <w:tcMar>
                    <w:top w:w="0" w:type="dxa"/>
                    <w:left w:w="108" w:type="dxa"/>
                    <w:bottom w:w="0" w:type="dxa"/>
                    <w:right w:w="108" w:type="dxa"/>
                  </w:tcMar>
                  <w:hideMark/>
                </w:tcPr>
                <w:p w14:paraId="6697C0EF" w14:textId="77777777" w:rsidR="00520EA2" w:rsidRPr="00520EA2" w:rsidRDefault="00520EA2" w:rsidP="00520EA2">
                  <w:pPr>
                    <w:jc w:val="both"/>
                  </w:pPr>
                  <w:r w:rsidRPr="00520EA2">
                    <w:rPr>
                      <w:i/>
                      <w:iCs/>
                    </w:rPr>
                    <w:t>Yurt Dışı Gider (Tevsik Edilemeyen Gider)</w:t>
                  </w:r>
                </w:p>
              </w:tc>
              <w:tc>
                <w:tcPr>
                  <w:tcW w:w="276" w:type="dxa"/>
                  <w:tcMar>
                    <w:top w:w="0" w:type="dxa"/>
                    <w:left w:w="108" w:type="dxa"/>
                    <w:bottom w:w="0" w:type="dxa"/>
                    <w:right w:w="108" w:type="dxa"/>
                  </w:tcMar>
                  <w:hideMark/>
                </w:tcPr>
                <w:p w14:paraId="66D16CFC"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0B4EE96D" w14:textId="77777777" w:rsidR="00520EA2" w:rsidRPr="00520EA2" w:rsidRDefault="00520EA2" w:rsidP="00520EA2">
                  <w:pPr>
                    <w:jc w:val="both"/>
                  </w:pPr>
                  <w:r w:rsidRPr="00520EA2">
                    <w:rPr>
                      <w:i/>
                      <w:iCs/>
                    </w:rPr>
                    <w:t>6.000.000 TL</w:t>
                  </w:r>
                </w:p>
              </w:tc>
            </w:tr>
            <w:tr w:rsidR="00520EA2" w:rsidRPr="00520EA2" w14:paraId="150C4187" w14:textId="77777777">
              <w:tc>
                <w:tcPr>
                  <w:tcW w:w="3435" w:type="dxa"/>
                  <w:tcMar>
                    <w:top w:w="0" w:type="dxa"/>
                    <w:left w:w="108" w:type="dxa"/>
                    <w:bottom w:w="0" w:type="dxa"/>
                    <w:right w:w="108" w:type="dxa"/>
                  </w:tcMar>
                  <w:hideMark/>
                </w:tcPr>
                <w:p w14:paraId="3BF4D735" w14:textId="77777777" w:rsidR="00520EA2" w:rsidRPr="00520EA2" w:rsidRDefault="00520EA2" w:rsidP="00520EA2">
                  <w:pPr>
                    <w:jc w:val="both"/>
                  </w:pPr>
                  <w:r w:rsidRPr="00520EA2">
                    <w:rPr>
                      <w:i/>
                      <w:iCs/>
                    </w:rPr>
                    <w:lastRenderedPageBreak/>
                    <w:t>(10.000.000-4.000.000)</w:t>
                  </w:r>
                </w:p>
              </w:tc>
              <w:tc>
                <w:tcPr>
                  <w:tcW w:w="276" w:type="dxa"/>
                  <w:tcMar>
                    <w:top w:w="0" w:type="dxa"/>
                    <w:left w:w="108" w:type="dxa"/>
                    <w:bottom w:w="0" w:type="dxa"/>
                    <w:right w:w="108" w:type="dxa"/>
                  </w:tcMar>
                  <w:hideMark/>
                </w:tcPr>
                <w:p w14:paraId="3AF0DE00" w14:textId="77777777" w:rsidR="00520EA2" w:rsidRPr="00520EA2" w:rsidRDefault="00520EA2" w:rsidP="00520EA2">
                  <w:pPr>
                    <w:jc w:val="both"/>
                  </w:pPr>
                  <w:r w:rsidRPr="00520EA2">
                    <w:rPr>
                      <w:i/>
                      <w:iCs/>
                    </w:rPr>
                    <w:t> </w:t>
                  </w:r>
                </w:p>
              </w:tc>
              <w:tc>
                <w:tcPr>
                  <w:tcW w:w="1385" w:type="dxa"/>
                  <w:tcMar>
                    <w:top w:w="0" w:type="dxa"/>
                    <w:left w:w="108" w:type="dxa"/>
                    <w:bottom w:w="0" w:type="dxa"/>
                    <w:right w:w="108" w:type="dxa"/>
                  </w:tcMar>
                  <w:hideMark/>
                </w:tcPr>
                <w:p w14:paraId="4581865C" w14:textId="77777777" w:rsidR="00520EA2" w:rsidRPr="00520EA2" w:rsidRDefault="00520EA2" w:rsidP="00520EA2">
                  <w:pPr>
                    <w:jc w:val="both"/>
                  </w:pPr>
                  <w:r w:rsidRPr="00520EA2">
                    <w:rPr>
                      <w:i/>
                      <w:iCs/>
                    </w:rPr>
                    <w:t> </w:t>
                  </w:r>
                </w:p>
              </w:tc>
            </w:tr>
            <w:tr w:rsidR="00520EA2" w:rsidRPr="00520EA2" w14:paraId="6603F00E" w14:textId="77777777">
              <w:tc>
                <w:tcPr>
                  <w:tcW w:w="3435" w:type="dxa"/>
                  <w:tcMar>
                    <w:top w:w="0" w:type="dxa"/>
                    <w:left w:w="108" w:type="dxa"/>
                    <w:bottom w:w="0" w:type="dxa"/>
                    <w:right w:w="108" w:type="dxa"/>
                  </w:tcMar>
                  <w:hideMark/>
                </w:tcPr>
                <w:p w14:paraId="123AA42C" w14:textId="77777777" w:rsidR="00520EA2" w:rsidRPr="00520EA2" w:rsidRDefault="00520EA2" w:rsidP="00520EA2">
                  <w:pPr>
                    <w:jc w:val="both"/>
                  </w:pPr>
                  <w:r w:rsidRPr="00520EA2">
                    <w:rPr>
                      <w:i/>
                      <w:iCs/>
                    </w:rPr>
                    <w:t>Yurt Dışı Gidere İsabet Eden GV</w:t>
                  </w:r>
                </w:p>
              </w:tc>
              <w:tc>
                <w:tcPr>
                  <w:tcW w:w="276" w:type="dxa"/>
                  <w:tcMar>
                    <w:top w:w="0" w:type="dxa"/>
                    <w:left w:w="108" w:type="dxa"/>
                    <w:bottom w:w="0" w:type="dxa"/>
                    <w:right w:w="108" w:type="dxa"/>
                  </w:tcMar>
                  <w:hideMark/>
                </w:tcPr>
                <w:p w14:paraId="6EB8F470"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48865F54" w14:textId="77777777" w:rsidR="00520EA2" w:rsidRPr="00520EA2" w:rsidRDefault="00520EA2" w:rsidP="00520EA2">
                  <w:pPr>
                    <w:jc w:val="both"/>
                  </w:pPr>
                  <w:r w:rsidRPr="00520EA2">
                    <w:rPr>
                      <w:i/>
                      <w:iCs/>
                    </w:rPr>
                    <w:t>600.000 TL</w:t>
                  </w:r>
                </w:p>
              </w:tc>
            </w:tr>
            <w:tr w:rsidR="00520EA2" w:rsidRPr="00520EA2" w14:paraId="7DB294C0" w14:textId="77777777">
              <w:tc>
                <w:tcPr>
                  <w:tcW w:w="3435" w:type="dxa"/>
                  <w:tcMar>
                    <w:top w:w="0" w:type="dxa"/>
                    <w:left w:w="108" w:type="dxa"/>
                    <w:bottom w:w="0" w:type="dxa"/>
                    <w:right w:w="108" w:type="dxa"/>
                  </w:tcMar>
                  <w:hideMark/>
                </w:tcPr>
                <w:p w14:paraId="401D416C" w14:textId="77777777" w:rsidR="00520EA2" w:rsidRPr="00520EA2" w:rsidRDefault="00520EA2" w:rsidP="00520EA2">
                  <w:pPr>
                    <w:jc w:val="both"/>
                  </w:pPr>
                  <w:r w:rsidRPr="00520EA2">
                    <w:rPr>
                      <w:i/>
                      <w:iCs/>
                    </w:rPr>
                    <w:t>(6.000.000*%10)</w:t>
                  </w:r>
                </w:p>
              </w:tc>
              <w:tc>
                <w:tcPr>
                  <w:tcW w:w="276" w:type="dxa"/>
                  <w:tcMar>
                    <w:top w:w="0" w:type="dxa"/>
                    <w:left w:w="108" w:type="dxa"/>
                    <w:bottom w:w="0" w:type="dxa"/>
                    <w:right w:w="108" w:type="dxa"/>
                  </w:tcMar>
                  <w:hideMark/>
                </w:tcPr>
                <w:p w14:paraId="3D639B22" w14:textId="77777777" w:rsidR="00520EA2" w:rsidRPr="00520EA2" w:rsidRDefault="00520EA2" w:rsidP="00520EA2">
                  <w:pPr>
                    <w:jc w:val="both"/>
                  </w:pPr>
                  <w:r w:rsidRPr="00520EA2">
                    <w:rPr>
                      <w:i/>
                      <w:iCs/>
                    </w:rPr>
                    <w:t> </w:t>
                  </w:r>
                </w:p>
              </w:tc>
              <w:tc>
                <w:tcPr>
                  <w:tcW w:w="1385" w:type="dxa"/>
                  <w:tcMar>
                    <w:top w:w="0" w:type="dxa"/>
                    <w:left w:w="108" w:type="dxa"/>
                    <w:bottom w:w="0" w:type="dxa"/>
                    <w:right w:w="108" w:type="dxa"/>
                  </w:tcMar>
                  <w:hideMark/>
                </w:tcPr>
                <w:p w14:paraId="31434B75" w14:textId="77777777" w:rsidR="00520EA2" w:rsidRPr="00520EA2" w:rsidRDefault="00520EA2" w:rsidP="00520EA2">
                  <w:pPr>
                    <w:jc w:val="both"/>
                  </w:pPr>
                  <w:r w:rsidRPr="00520EA2">
                    <w:rPr>
                      <w:i/>
                      <w:iCs/>
                    </w:rPr>
                    <w:t> </w:t>
                  </w:r>
                </w:p>
              </w:tc>
            </w:tr>
            <w:tr w:rsidR="00520EA2" w:rsidRPr="00520EA2" w14:paraId="3813ED55" w14:textId="77777777">
              <w:tc>
                <w:tcPr>
                  <w:tcW w:w="3435" w:type="dxa"/>
                  <w:tcMar>
                    <w:top w:w="0" w:type="dxa"/>
                    <w:left w:w="108" w:type="dxa"/>
                    <w:bottom w:w="0" w:type="dxa"/>
                    <w:right w:w="108" w:type="dxa"/>
                  </w:tcMar>
                  <w:hideMark/>
                </w:tcPr>
                <w:p w14:paraId="4701945E" w14:textId="77777777" w:rsidR="00520EA2" w:rsidRPr="00520EA2" w:rsidRDefault="00520EA2" w:rsidP="00520EA2">
                  <w:pPr>
                    <w:jc w:val="both"/>
                  </w:pPr>
                  <w:r w:rsidRPr="00520EA2">
                    <w:rPr>
                      <w:i/>
                      <w:iCs/>
                    </w:rPr>
                    <w:t>Yurt Dışı Gidere İsabet Eden İGV</w:t>
                  </w:r>
                </w:p>
              </w:tc>
              <w:tc>
                <w:tcPr>
                  <w:tcW w:w="276" w:type="dxa"/>
                  <w:tcMar>
                    <w:top w:w="0" w:type="dxa"/>
                    <w:left w:w="108" w:type="dxa"/>
                    <w:bottom w:w="0" w:type="dxa"/>
                    <w:right w:w="108" w:type="dxa"/>
                  </w:tcMar>
                  <w:hideMark/>
                </w:tcPr>
                <w:p w14:paraId="22A5B57D"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4A303FFF" w14:textId="77777777" w:rsidR="00520EA2" w:rsidRPr="00520EA2" w:rsidRDefault="00520EA2" w:rsidP="00520EA2">
                  <w:pPr>
                    <w:jc w:val="both"/>
                  </w:pPr>
                  <w:r w:rsidRPr="00520EA2">
                    <w:rPr>
                      <w:i/>
                      <w:iCs/>
                    </w:rPr>
                    <w:t>900.000 TL</w:t>
                  </w:r>
                </w:p>
              </w:tc>
            </w:tr>
            <w:tr w:rsidR="00520EA2" w:rsidRPr="00520EA2" w14:paraId="6C520EE9" w14:textId="77777777">
              <w:tc>
                <w:tcPr>
                  <w:tcW w:w="3435" w:type="dxa"/>
                  <w:tcMar>
                    <w:top w:w="0" w:type="dxa"/>
                    <w:left w:w="108" w:type="dxa"/>
                    <w:bottom w:w="0" w:type="dxa"/>
                    <w:right w:w="108" w:type="dxa"/>
                  </w:tcMar>
                  <w:hideMark/>
                </w:tcPr>
                <w:p w14:paraId="6F84AB98" w14:textId="77777777" w:rsidR="00520EA2" w:rsidRPr="00520EA2" w:rsidRDefault="00520EA2" w:rsidP="00520EA2">
                  <w:pPr>
                    <w:jc w:val="both"/>
                  </w:pPr>
                  <w:r w:rsidRPr="00520EA2">
                    <w:rPr>
                      <w:i/>
                      <w:iCs/>
                    </w:rPr>
                    <w:t>(6.000.000*%15)</w:t>
                  </w:r>
                </w:p>
              </w:tc>
              <w:tc>
                <w:tcPr>
                  <w:tcW w:w="276" w:type="dxa"/>
                  <w:tcMar>
                    <w:top w:w="0" w:type="dxa"/>
                    <w:left w:w="108" w:type="dxa"/>
                    <w:bottom w:w="0" w:type="dxa"/>
                    <w:right w:w="108" w:type="dxa"/>
                  </w:tcMar>
                  <w:hideMark/>
                </w:tcPr>
                <w:p w14:paraId="4FB7DEA1" w14:textId="77777777" w:rsidR="00520EA2" w:rsidRPr="00520EA2" w:rsidRDefault="00520EA2" w:rsidP="00520EA2">
                  <w:pPr>
                    <w:jc w:val="both"/>
                  </w:pPr>
                  <w:r w:rsidRPr="00520EA2">
                    <w:rPr>
                      <w:i/>
                      <w:iCs/>
                    </w:rPr>
                    <w:t> </w:t>
                  </w:r>
                </w:p>
              </w:tc>
              <w:tc>
                <w:tcPr>
                  <w:tcW w:w="1385" w:type="dxa"/>
                  <w:tcMar>
                    <w:top w:w="0" w:type="dxa"/>
                    <w:left w:w="108" w:type="dxa"/>
                    <w:bottom w:w="0" w:type="dxa"/>
                    <w:right w:w="108" w:type="dxa"/>
                  </w:tcMar>
                  <w:hideMark/>
                </w:tcPr>
                <w:p w14:paraId="5BE49C6E" w14:textId="77777777" w:rsidR="00520EA2" w:rsidRPr="00520EA2" w:rsidRDefault="00520EA2" w:rsidP="00520EA2">
                  <w:pPr>
                    <w:jc w:val="both"/>
                  </w:pPr>
                  <w:r w:rsidRPr="00520EA2">
                    <w:rPr>
                      <w:i/>
                      <w:iCs/>
                    </w:rPr>
                    <w:t> </w:t>
                  </w:r>
                </w:p>
              </w:tc>
            </w:tr>
            <w:tr w:rsidR="00520EA2" w:rsidRPr="00520EA2" w14:paraId="5C5AE586" w14:textId="77777777">
              <w:tc>
                <w:tcPr>
                  <w:tcW w:w="3435" w:type="dxa"/>
                  <w:tcMar>
                    <w:top w:w="0" w:type="dxa"/>
                    <w:left w:w="108" w:type="dxa"/>
                    <w:bottom w:w="0" w:type="dxa"/>
                    <w:right w:w="108" w:type="dxa"/>
                  </w:tcMar>
                  <w:hideMark/>
                </w:tcPr>
                <w:p w14:paraId="2312F084" w14:textId="77777777" w:rsidR="00520EA2" w:rsidRPr="00520EA2" w:rsidRDefault="00520EA2" w:rsidP="00520EA2">
                  <w:pPr>
                    <w:jc w:val="both"/>
                  </w:pPr>
                  <w:r w:rsidRPr="00520EA2">
                    <w:rPr>
                      <w:i/>
                      <w:iCs/>
                    </w:rPr>
                    <w:t>İndirilemeyecek KDV Matrahı</w:t>
                  </w:r>
                </w:p>
              </w:tc>
              <w:tc>
                <w:tcPr>
                  <w:tcW w:w="276" w:type="dxa"/>
                  <w:tcMar>
                    <w:top w:w="0" w:type="dxa"/>
                    <w:left w:w="108" w:type="dxa"/>
                    <w:bottom w:w="0" w:type="dxa"/>
                    <w:right w:w="108" w:type="dxa"/>
                  </w:tcMar>
                  <w:hideMark/>
                </w:tcPr>
                <w:p w14:paraId="28A1B2C6"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5E541FF5" w14:textId="77777777" w:rsidR="00520EA2" w:rsidRPr="00520EA2" w:rsidRDefault="00520EA2" w:rsidP="00520EA2">
                  <w:pPr>
                    <w:jc w:val="both"/>
                  </w:pPr>
                  <w:r w:rsidRPr="00520EA2">
                    <w:rPr>
                      <w:i/>
                      <w:iCs/>
                    </w:rPr>
                    <w:t>7.500.000 TL</w:t>
                  </w:r>
                </w:p>
              </w:tc>
            </w:tr>
            <w:tr w:rsidR="00520EA2" w:rsidRPr="00520EA2" w14:paraId="54FDB520" w14:textId="77777777">
              <w:tc>
                <w:tcPr>
                  <w:tcW w:w="3435" w:type="dxa"/>
                  <w:tcMar>
                    <w:top w:w="0" w:type="dxa"/>
                    <w:left w:w="108" w:type="dxa"/>
                    <w:bottom w:w="0" w:type="dxa"/>
                    <w:right w:w="108" w:type="dxa"/>
                  </w:tcMar>
                  <w:hideMark/>
                </w:tcPr>
                <w:p w14:paraId="2624389F" w14:textId="77777777" w:rsidR="00520EA2" w:rsidRPr="00520EA2" w:rsidRDefault="00520EA2" w:rsidP="00520EA2">
                  <w:pPr>
                    <w:jc w:val="both"/>
                  </w:pPr>
                  <w:r w:rsidRPr="00520EA2">
                    <w:rPr>
                      <w:i/>
                      <w:iCs/>
                    </w:rPr>
                    <w:t>(6.000.000+600.000+900.000)</w:t>
                  </w:r>
                </w:p>
              </w:tc>
              <w:tc>
                <w:tcPr>
                  <w:tcW w:w="276" w:type="dxa"/>
                  <w:tcMar>
                    <w:top w:w="0" w:type="dxa"/>
                    <w:left w:w="108" w:type="dxa"/>
                    <w:bottom w:w="0" w:type="dxa"/>
                    <w:right w:w="108" w:type="dxa"/>
                  </w:tcMar>
                  <w:hideMark/>
                </w:tcPr>
                <w:p w14:paraId="569CF7AA" w14:textId="77777777" w:rsidR="00520EA2" w:rsidRPr="00520EA2" w:rsidRDefault="00520EA2" w:rsidP="00520EA2">
                  <w:pPr>
                    <w:jc w:val="both"/>
                  </w:pPr>
                  <w:r w:rsidRPr="00520EA2">
                    <w:rPr>
                      <w:i/>
                      <w:iCs/>
                    </w:rPr>
                    <w:t> </w:t>
                  </w:r>
                </w:p>
              </w:tc>
              <w:tc>
                <w:tcPr>
                  <w:tcW w:w="1385" w:type="dxa"/>
                  <w:tcMar>
                    <w:top w:w="0" w:type="dxa"/>
                    <w:left w:w="108" w:type="dxa"/>
                    <w:bottom w:w="0" w:type="dxa"/>
                    <w:right w:w="108" w:type="dxa"/>
                  </w:tcMar>
                  <w:hideMark/>
                </w:tcPr>
                <w:p w14:paraId="5ED60EAC" w14:textId="77777777" w:rsidR="00520EA2" w:rsidRPr="00520EA2" w:rsidRDefault="00520EA2" w:rsidP="00520EA2">
                  <w:pPr>
                    <w:jc w:val="both"/>
                  </w:pPr>
                  <w:r w:rsidRPr="00520EA2">
                    <w:rPr>
                      <w:i/>
                      <w:iCs/>
                    </w:rPr>
                    <w:t> </w:t>
                  </w:r>
                </w:p>
              </w:tc>
            </w:tr>
            <w:tr w:rsidR="00520EA2" w:rsidRPr="00520EA2" w14:paraId="69A4178E" w14:textId="77777777">
              <w:tc>
                <w:tcPr>
                  <w:tcW w:w="3435" w:type="dxa"/>
                  <w:tcMar>
                    <w:top w:w="0" w:type="dxa"/>
                    <w:left w:w="108" w:type="dxa"/>
                    <w:bottom w:w="0" w:type="dxa"/>
                    <w:right w:w="108" w:type="dxa"/>
                  </w:tcMar>
                  <w:hideMark/>
                </w:tcPr>
                <w:p w14:paraId="241A61E5" w14:textId="77777777" w:rsidR="00520EA2" w:rsidRPr="00520EA2" w:rsidRDefault="00520EA2" w:rsidP="00520EA2">
                  <w:pPr>
                    <w:jc w:val="both"/>
                  </w:pPr>
                  <w:r w:rsidRPr="00520EA2">
                    <w:rPr>
                      <w:i/>
                      <w:iCs/>
                    </w:rPr>
                    <w:t>İndirilemeyecek KDV</w:t>
                  </w:r>
                </w:p>
              </w:tc>
              <w:tc>
                <w:tcPr>
                  <w:tcW w:w="276" w:type="dxa"/>
                  <w:tcMar>
                    <w:top w:w="0" w:type="dxa"/>
                    <w:left w:w="108" w:type="dxa"/>
                    <w:bottom w:w="0" w:type="dxa"/>
                    <w:right w:w="108" w:type="dxa"/>
                  </w:tcMar>
                  <w:hideMark/>
                </w:tcPr>
                <w:p w14:paraId="232A5CCB"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2B369FFB" w14:textId="77777777" w:rsidR="00520EA2" w:rsidRPr="00520EA2" w:rsidRDefault="00520EA2" w:rsidP="00520EA2">
                  <w:pPr>
                    <w:jc w:val="both"/>
                  </w:pPr>
                  <w:r w:rsidRPr="00520EA2">
                    <w:rPr>
                      <w:i/>
                      <w:iCs/>
                    </w:rPr>
                    <w:t>1.500.000 TL</w:t>
                  </w:r>
                </w:p>
              </w:tc>
            </w:tr>
            <w:tr w:rsidR="00520EA2" w:rsidRPr="00520EA2" w14:paraId="5D7D19DB" w14:textId="77777777">
              <w:tc>
                <w:tcPr>
                  <w:tcW w:w="3435" w:type="dxa"/>
                  <w:tcMar>
                    <w:top w:w="0" w:type="dxa"/>
                    <w:left w:w="108" w:type="dxa"/>
                    <w:bottom w:w="0" w:type="dxa"/>
                    <w:right w:w="108" w:type="dxa"/>
                  </w:tcMar>
                  <w:hideMark/>
                </w:tcPr>
                <w:p w14:paraId="57288557" w14:textId="77777777" w:rsidR="00520EA2" w:rsidRPr="00520EA2" w:rsidRDefault="00520EA2" w:rsidP="00520EA2">
                  <w:pPr>
                    <w:jc w:val="both"/>
                  </w:pPr>
                  <w:r w:rsidRPr="00520EA2">
                    <w:rPr>
                      <w:i/>
                      <w:iCs/>
                    </w:rPr>
                    <w:t>(7.500.000*%20)</w:t>
                  </w:r>
                </w:p>
              </w:tc>
              <w:tc>
                <w:tcPr>
                  <w:tcW w:w="276" w:type="dxa"/>
                  <w:tcMar>
                    <w:top w:w="0" w:type="dxa"/>
                    <w:left w:w="108" w:type="dxa"/>
                    <w:bottom w:w="0" w:type="dxa"/>
                    <w:right w:w="108" w:type="dxa"/>
                  </w:tcMar>
                  <w:hideMark/>
                </w:tcPr>
                <w:p w14:paraId="489043E1" w14:textId="77777777" w:rsidR="00520EA2" w:rsidRPr="00520EA2" w:rsidRDefault="00520EA2" w:rsidP="00520EA2">
                  <w:pPr>
                    <w:jc w:val="both"/>
                  </w:pPr>
                  <w:r w:rsidRPr="00520EA2">
                    <w:rPr>
                      <w:i/>
                      <w:iCs/>
                    </w:rPr>
                    <w:t> </w:t>
                  </w:r>
                </w:p>
              </w:tc>
              <w:tc>
                <w:tcPr>
                  <w:tcW w:w="1385" w:type="dxa"/>
                  <w:tcMar>
                    <w:top w:w="0" w:type="dxa"/>
                    <w:left w:w="108" w:type="dxa"/>
                    <w:bottom w:w="0" w:type="dxa"/>
                    <w:right w:w="108" w:type="dxa"/>
                  </w:tcMar>
                  <w:hideMark/>
                </w:tcPr>
                <w:p w14:paraId="6188F071" w14:textId="77777777" w:rsidR="00520EA2" w:rsidRPr="00520EA2" w:rsidRDefault="00520EA2" w:rsidP="00520EA2">
                  <w:pPr>
                    <w:jc w:val="both"/>
                  </w:pPr>
                  <w:r w:rsidRPr="00520EA2">
                    <w:rPr>
                      <w:i/>
                      <w:iCs/>
                    </w:rPr>
                    <w:t> </w:t>
                  </w:r>
                </w:p>
              </w:tc>
            </w:tr>
            <w:tr w:rsidR="00520EA2" w:rsidRPr="00520EA2" w14:paraId="0E716733" w14:textId="77777777">
              <w:tc>
                <w:tcPr>
                  <w:tcW w:w="3435" w:type="dxa"/>
                  <w:tcMar>
                    <w:top w:w="0" w:type="dxa"/>
                    <w:left w:w="108" w:type="dxa"/>
                    <w:bottom w:w="0" w:type="dxa"/>
                    <w:right w:w="108" w:type="dxa"/>
                  </w:tcMar>
                  <w:hideMark/>
                </w:tcPr>
                <w:p w14:paraId="2355DB99" w14:textId="77777777" w:rsidR="00520EA2" w:rsidRPr="00520EA2" w:rsidRDefault="00520EA2" w:rsidP="00520EA2">
                  <w:pPr>
                    <w:jc w:val="both"/>
                  </w:pPr>
                  <w:r w:rsidRPr="00520EA2">
                    <w:rPr>
                      <w:i/>
                      <w:iCs/>
                    </w:rPr>
                    <w:t> </w:t>
                  </w:r>
                </w:p>
              </w:tc>
              <w:tc>
                <w:tcPr>
                  <w:tcW w:w="276" w:type="dxa"/>
                  <w:tcMar>
                    <w:top w:w="0" w:type="dxa"/>
                    <w:left w:w="108" w:type="dxa"/>
                    <w:bottom w:w="0" w:type="dxa"/>
                    <w:right w:w="108" w:type="dxa"/>
                  </w:tcMar>
                  <w:hideMark/>
                </w:tcPr>
                <w:p w14:paraId="2FD64BC8" w14:textId="77777777" w:rsidR="00520EA2" w:rsidRPr="00520EA2" w:rsidRDefault="00520EA2" w:rsidP="00520EA2">
                  <w:pPr>
                    <w:jc w:val="both"/>
                  </w:pPr>
                  <w:r w:rsidRPr="00520EA2">
                    <w:rPr>
                      <w:i/>
                      <w:iCs/>
                    </w:rPr>
                    <w:t> </w:t>
                  </w:r>
                </w:p>
              </w:tc>
              <w:tc>
                <w:tcPr>
                  <w:tcW w:w="1385" w:type="dxa"/>
                  <w:tcMar>
                    <w:top w:w="0" w:type="dxa"/>
                    <w:left w:w="108" w:type="dxa"/>
                    <w:bottom w:w="0" w:type="dxa"/>
                    <w:right w:w="108" w:type="dxa"/>
                  </w:tcMar>
                  <w:hideMark/>
                </w:tcPr>
                <w:p w14:paraId="4B261145" w14:textId="77777777" w:rsidR="00520EA2" w:rsidRPr="00520EA2" w:rsidRDefault="00520EA2" w:rsidP="00520EA2">
                  <w:pPr>
                    <w:jc w:val="both"/>
                  </w:pPr>
                  <w:r w:rsidRPr="00520EA2">
                    <w:rPr>
                      <w:i/>
                      <w:iCs/>
                    </w:rPr>
                    <w:t> </w:t>
                  </w:r>
                </w:p>
              </w:tc>
            </w:tr>
            <w:tr w:rsidR="00520EA2" w:rsidRPr="00520EA2" w14:paraId="2E92A2DC" w14:textId="77777777">
              <w:tc>
                <w:tcPr>
                  <w:tcW w:w="3435" w:type="dxa"/>
                  <w:tcMar>
                    <w:top w:w="0" w:type="dxa"/>
                    <w:left w:w="108" w:type="dxa"/>
                    <w:bottom w:w="0" w:type="dxa"/>
                    <w:right w:w="108" w:type="dxa"/>
                  </w:tcMar>
                  <w:hideMark/>
                </w:tcPr>
                <w:p w14:paraId="2F90CEEB" w14:textId="77777777" w:rsidR="00520EA2" w:rsidRPr="00520EA2" w:rsidRDefault="00520EA2" w:rsidP="00520EA2">
                  <w:pPr>
                    <w:jc w:val="both"/>
                  </w:pPr>
                  <w:r w:rsidRPr="00520EA2">
                    <w:rPr>
                      <w:i/>
                      <w:iCs/>
                    </w:rPr>
                    <w:t>CIF Bedeli</w:t>
                  </w:r>
                </w:p>
              </w:tc>
              <w:tc>
                <w:tcPr>
                  <w:tcW w:w="276" w:type="dxa"/>
                  <w:tcMar>
                    <w:top w:w="0" w:type="dxa"/>
                    <w:left w:w="108" w:type="dxa"/>
                    <w:bottom w:w="0" w:type="dxa"/>
                    <w:right w:w="108" w:type="dxa"/>
                  </w:tcMar>
                  <w:hideMark/>
                </w:tcPr>
                <w:p w14:paraId="615EDA78"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0EF02A47" w14:textId="77777777" w:rsidR="00520EA2" w:rsidRPr="00520EA2" w:rsidRDefault="00520EA2" w:rsidP="00520EA2">
                  <w:pPr>
                    <w:jc w:val="both"/>
                  </w:pPr>
                  <w:r w:rsidRPr="00520EA2">
                    <w:rPr>
                      <w:i/>
                      <w:iCs/>
                    </w:rPr>
                    <w:t>4.000.000 TL</w:t>
                  </w:r>
                </w:p>
              </w:tc>
            </w:tr>
            <w:tr w:rsidR="00520EA2" w:rsidRPr="00520EA2" w14:paraId="3539E243" w14:textId="77777777">
              <w:tc>
                <w:tcPr>
                  <w:tcW w:w="3435" w:type="dxa"/>
                  <w:tcMar>
                    <w:top w:w="0" w:type="dxa"/>
                    <w:left w:w="108" w:type="dxa"/>
                    <w:bottom w:w="0" w:type="dxa"/>
                    <w:right w:w="108" w:type="dxa"/>
                  </w:tcMar>
                  <w:hideMark/>
                </w:tcPr>
                <w:p w14:paraId="4A7EAD2F" w14:textId="77777777" w:rsidR="00520EA2" w:rsidRPr="00520EA2" w:rsidRDefault="00520EA2" w:rsidP="00520EA2">
                  <w:pPr>
                    <w:jc w:val="both"/>
                  </w:pPr>
                  <w:r w:rsidRPr="00520EA2">
                    <w:rPr>
                      <w:i/>
                      <w:iCs/>
                    </w:rPr>
                    <w:t>CIF Bedeli Üzerinden Hesaplanan GV</w:t>
                  </w:r>
                </w:p>
              </w:tc>
              <w:tc>
                <w:tcPr>
                  <w:tcW w:w="276" w:type="dxa"/>
                  <w:tcMar>
                    <w:top w:w="0" w:type="dxa"/>
                    <w:left w:w="108" w:type="dxa"/>
                    <w:bottom w:w="0" w:type="dxa"/>
                    <w:right w:w="108" w:type="dxa"/>
                  </w:tcMar>
                  <w:hideMark/>
                </w:tcPr>
                <w:p w14:paraId="78C6C70D"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7CCF3BE6" w14:textId="77777777" w:rsidR="00520EA2" w:rsidRPr="00520EA2" w:rsidRDefault="00520EA2" w:rsidP="00520EA2">
                  <w:pPr>
                    <w:jc w:val="both"/>
                  </w:pPr>
                  <w:r w:rsidRPr="00520EA2">
                    <w:rPr>
                      <w:i/>
                      <w:iCs/>
                    </w:rPr>
                    <w:t>400.000 TL</w:t>
                  </w:r>
                </w:p>
              </w:tc>
            </w:tr>
            <w:tr w:rsidR="00520EA2" w:rsidRPr="00520EA2" w14:paraId="3F4B9738" w14:textId="77777777">
              <w:tc>
                <w:tcPr>
                  <w:tcW w:w="3435" w:type="dxa"/>
                  <w:tcMar>
                    <w:top w:w="0" w:type="dxa"/>
                    <w:left w:w="108" w:type="dxa"/>
                    <w:bottom w:w="0" w:type="dxa"/>
                    <w:right w:w="108" w:type="dxa"/>
                  </w:tcMar>
                  <w:hideMark/>
                </w:tcPr>
                <w:p w14:paraId="08A9F9FD" w14:textId="77777777" w:rsidR="00520EA2" w:rsidRPr="00520EA2" w:rsidRDefault="00520EA2" w:rsidP="00520EA2">
                  <w:pPr>
                    <w:jc w:val="both"/>
                  </w:pPr>
                  <w:r w:rsidRPr="00520EA2">
                    <w:rPr>
                      <w:i/>
                      <w:iCs/>
                    </w:rPr>
                    <w:t>(4.000.000*%10)</w:t>
                  </w:r>
                </w:p>
              </w:tc>
              <w:tc>
                <w:tcPr>
                  <w:tcW w:w="276" w:type="dxa"/>
                  <w:tcMar>
                    <w:top w:w="0" w:type="dxa"/>
                    <w:left w:w="108" w:type="dxa"/>
                    <w:bottom w:w="0" w:type="dxa"/>
                    <w:right w:w="108" w:type="dxa"/>
                  </w:tcMar>
                  <w:hideMark/>
                </w:tcPr>
                <w:p w14:paraId="7BE8039F" w14:textId="77777777" w:rsidR="00520EA2" w:rsidRPr="00520EA2" w:rsidRDefault="00520EA2" w:rsidP="00520EA2">
                  <w:pPr>
                    <w:jc w:val="both"/>
                  </w:pPr>
                  <w:r w:rsidRPr="00520EA2">
                    <w:rPr>
                      <w:i/>
                      <w:iCs/>
                    </w:rPr>
                    <w:t> </w:t>
                  </w:r>
                </w:p>
              </w:tc>
              <w:tc>
                <w:tcPr>
                  <w:tcW w:w="1385" w:type="dxa"/>
                  <w:tcMar>
                    <w:top w:w="0" w:type="dxa"/>
                    <w:left w:w="108" w:type="dxa"/>
                    <w:bottom w:w="0" w:type="dxa"/>
                    <w:right w:w="108" w:type="dxa"/>
                  </w:tcMar>
                  <w:hideMark/>
                </w:tcPr>
                <w:p w14:paraId="0EDFEB1E" w14:textId="77777777" w:rsidR="00520EA2" w:rsidRPr="00520EA2" w:rsidRDefault="00520EA2" w:rsidP="00520EA2">
                  <w:pPr>
                    <w:jc w:val="both"/>
                  </w:pPr>
                  <w:r w:rsidRPr="00520EA2">
                    <w:rPr>
                      <w:i/>
                      <w:iCs/>
                    </w:rPr>
                    <w:t> </w:t>
                  </w:r>
                </w:p>
              </w:tc>
            </w:tr>
            <w:tr w:rsidR="00520EA2" w:rsidRPr="00520EA2" w14:paraId="15853CDB" w14:textId="77777777">
              <w:tc>
                <w:tcPr>
                  <w:tcW w:w="3435" w:type="dxa"/>
                  <w:tcMar>
                    <w:top w:w="0" w:type="dxa"/>
                    <w:left w:w="108" w:type="dxa"/>
                    <w:bottom w:w="0" w:type="dxa"/>
                    <w:right w:w="108" w:type="dxa"/>
                  </w:tcMar>
                  <w:hideMark/>
                </w:tcPr>
                <w:p w14:paraId="51F51775" w14:textId="77777777" w:rsidR="00520EA2" w:rsidRPr="00520EA2" w:rsidRDefault="00520EA2" w:rsidP="00520EA2">
                  <w:pPr>
                    <w:jc w:val="both"/>
                  </w:pPr>
                  <w:r w:rsidRPr="00520EA2">
                    <w:rPr>
                      <w:i/>
                      <w:iCs/>
                    </w:rPr>
                    <w:t>CIF Bedeli Üzerinden Hesaplanan İGV</w:t>
                  </w:r>
                </w:p>
              </w:tc>
              <w:tc>
                <w:tcPr>
                  <w:tcW w:w="276" w:type="dxa"/>
                  <w:tcMar>
                    <w:top w:w="0" w:type="dxa"/>
                    <w:left w:w="108" w:type="dxa"/>
                    <w:bottom w:w="0" w:type="dxa"/>
                    <w:right w:w="108" w:type="dxa"/>
                  </w:tcMar>
                  <w:hideMark/>
                </w:tcPr>
                <w:p w14:paraId="4291D4B9"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6F9A824A" w14:textId="77777777" w:rsidR="00520EA2" w:rsidRPr="00520EA2" w:rsidRDefault="00520EA2" w:rsidP="00520EA2">
                  <w:pPr>
                    <w:jc w:val="both"/>
                  </w:pPr>
                  <w:r w:rsidRPr="00520EA2">
                    <w:rPr>
                      <w:i/>
                      <w:iCs/>
                    </w:rPr>
                    <w:t>600.000 TL</w:t>
                  </w:r>
                </w:p>
              </w:tc>
            </w:tr>
            <w:tr w:rsidR="00520EA2" w:rsidRPr="00520EA2" w14:paraId="1934863C" w14:textId="77777777">
              <w:tc>
                <w:tcPr>
                  <w:tcW w:w="3435" w:type="dxa"/>
                  <w:tcMar>
                    <w:top w:w="0" w:type="dxa"/>
                    <w:left w:w="108" w:type="dxa"/>
                    <w:bottom w:w="0" w:type="dxa"/>
                    <w:right w:w="108" w:type="dxa"/>
                  </w:tcMar>
                  <w:hideMark/>
                </w:tcPr>
                <w:p w14:paraId="337C6DA8" w14:textId="77777777" w:rsidR="00520EA2" w:rsidRPr="00520EA2" w:rsidRDefault="00520EA2" w:rsidP="00520EA2">
                  <w:pPr>
                    <w:jc w:val="both"/>
                  </w:pPr>
                  <w:r w:rsidRPr="00520EA2">
                    <w:rPr>
                      <w:i/>
                      <w:iCs/>
                    </w:rPr>
                    <w:t>(4.000.000*%15)</w:t>
                  </w:r>
                </w:p>
              </w:tc>
              <w:tc>
                <w:tcPr>
                  <w:tcW w:w="276" w:type="dxa"/>
                  <w:tcMar>
                    <w:top w:w="0" w:type="dxa"/>
                    <w:left w:w="108" w:type="dxa"/>
                    <w:bottom w:w="0" w:type="dxa"/>
                    <w:right w:w="108" w:type="dxa"/>
                  </w:tcMar>
                  <w:hideMark/>
                </w:tcPr>
                <w:p w14:paraId="4787A68A" w14:textId="77777777" w:rsidR="00520EA2" w:rsidRPr="00520EA2" w:rsidRDefault="00520EA2" w:rsidP="00520EA2">
                  <w:pPr>
                    <w:jc w:val="both"/>
                  </w:pPr>
                  <w:r w:rsidRPr="00520EA2">
                    <w:rPr>
                      <w:i/>
                      <w:iCs/>
                    </w:rPr>
                    <w:t> </w:t>
                  </w:r>
                </w:p>
              </w:tc>
              <w:tc>
                <w:tcPr>
                  <w:tcW w:w="1385" w:type="dxa"/>
                  <w:tcMar>
                    <w:top w:w="0" w:type="dxa"/>
                    <w:left w:w="108" w:type="dxa"/>
                    <w:bottom w:w="0" w:type="dxa"/>
                    <w:right w:w="108" w:type="dxa"/>
                  </w:tcMar>
                  <w:hideMark/>
                </w:tcPr>
                <w:p w14:paraId="3A0CD42D" w14:textId="77777777" w:rsidR="00520EA2" w:rsidRPr="00520EA2" w:rsidRDefault="00520EA2" w:rsidP="00520EA2">
                  <w:pPr>
                    <w:jc w:val="both"/>
                  </w:pPr>
                  <w:r w:rsidRPr="00520EA2">
                    <w:rPr>
                      <w:i/>
                      <w:iCs/>
                    </w:rPr>
                    <w:t> </w:t>
                  </w:r>
                </w:p>
              </w:tc>
            </w:tr>
            <w:tr w:rsidR="00520EA2" w:rsidRPr="00520EA2" w14:paraId="6708A2C4" w14:textId="77777777">
              <w:tc>
                <w:tcPr>
                  <w:tcW w:w="3435" w:type="dxa"/>
                  <w:tcMar>
                    <w:top w:w="0" w:type="dxa"/>
                    <w:left w:w="108" w:type="dxa"/>
                    <w:bottom w:w="0" w:type="dxa"/>
                    <w:right w:w="108" w:type="dxa"/>
                  </w:tcMar>
                  <w:hideMark/>
                </w:tcPr>
                <w:p w14:paraId="0F0E7501" w14:textId="77777777" w:rsidR="00520EA2" w:rsidRPr="00520EA2" w:rsidRDefault="00520EA2" w:rsidP="00520EA2">
                  <w:pPr>
                    <w:jc w:val="both"/>
                  </w:pPr>
                  <w:r w:rsidRPr="00520EA2">
                    <w:rPr>
                      <w:i/>
                      <w:iCs/>
                    </w:rPr>
                    <w:t>İndirilecek KDV Matrahı</w:t>
                  </w:r>
                </w:p>
              </w:tc>
              <w:tc>
                <w:tcPr>
                  <w:tcW w:w="276" w:type="dxa"/>
                  <w:tcMar>
                    <w:top w:w="0" w:type="dxa"/>
                    <w:left w:w="108" w:type="dxa"/>
                    <w:bottom w:w="0" w:type="dxa"/>
                    <w:right w:w="108" w:type="dxa"/>
                  </w:tcMar>
                  <w:hideMark/>
                </w:tcPr>
                <w:p w14:paraId="38AB6C99"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2371FD21" w14:textId="77777777" w:rsidR="00520EA2" w:rsidRPr="00520EA2" w:rsidRDefault="00520EA2" w:rsidP="00520EA2">
                  <w:pPr>
                    <w:jc w:val="both"/>
                  </w:pPr>
                  <w:r w:rsidRPr="00520EA2">
                    <w:rPr>
                      <w:i/>
                      <w:iCs/>
                    </w:rPr>
                    <w:t>5.000.000 TL</w:t>
                  </w:r>
                </w:p>
              </w:tc>
            </w:tr>
            <w:tr w:rsidR="00520EA2" w:rsidRPr="00520EA2" w14:paraId="66467BD9" w14:textId="77777777">
              <w:tc>
                <w:tcPr>
                  <w:tcW w:w="3435" w:type="dxa"/>
                  <w:tcMar>
                    <w:top w:w="0" w:type="dxa"/>
                    <w:left w:w="108" w:type="dxa"/>
                    <w:bottom w:w="0" w:type="dxa"/>
                    <w:right w:w="108" w:type="dxa"/>
                  </w:tcMar>
                  <w:hideMark/>
                </w:tcPr>
                <w:p w14:paraId="515939DB" w14:textId="77777777" w:rsidR="00520EA2" w:rsidRPr="00520EA2" w:rsidRDefault="00520EA2" w:rsidP="00520EA2">
                  <w:pPr>
                    <w:jc w:val="both"/>
                  </w:pPr>
                  <w:r w:rsidRPr="00520EA2">
                    <w:rPr>
                      <w:i/>
                      <w:iCs/>
                    </w:rPr>
                    <w:t>(4.000.000+400.000+600.000)</w:t>
                  </w:r>
                </w:p>
              </w:tc>
              <w:tc>
                <w:tcPr>
                  <w:tcW w:w="276" w:type="dxa"/>
                  <w:tcMar>
                    <w:top w:w="0" w:type="dxa"/>
                    <w:left w:w="108" w:type="dxa"/>
                    <w:bottom w:w="0" w:type="dxa"/>
                    <w:right w:w="108" w:type="dxa"/>
                  </w:tcMar>
                  <w:hideMark/>
                </w:tcPr>
                <w:p w14:paraId="670D5BAD" w14:textId="77777777" w:rsidR="00520EA2" w:rsidRPr="00520EA2" w:rsidRDefault="00520EA2" w:rsidP="00520EA2">
                  <w:pPr>
                    <w:jc w:val="both"/>
                  </w:pPr>
                  <w:r w:rsidRPr="00520EA2">
                    <w:rPr>
                      <w:i/>
                      <w:iCs/>
                    </w:rPr>
                    <w:t> </w:t>
                  </w:r>
                </w:p>
              </w:tc>
              <w:tc>
                <w:tcPr>
                  <w:tcW w:w="1385" w:type="dxa"/>
                  <w:tcMar>
                    <w:top w:w="0" w:type="dxa"/>
                    <w:left w:w="108" w:type="dxa"/>
                    <w:bottom w:w="0" w:type="dxa"/>
                    <w:right w:w="108" w:type="dxa"/>
                  </w:tcMar>
                  <w:hideMark/>
                </w:tcPr>
                <w:p w14:paraId="0682E2E1" w14:textId="77777777" w:rsidR="00520EA2" w:rsidRPr="00520EA2" w:rsidRDefault="00520EA2" w:rsidP="00520EA2">
                  <w:pPr>
                    <w:jc w:val="both"/>
                  </w:pPr>
                  <w:r w:rsidRPr="00520EA2">
                    <w:rPr>
                      <w:i/>
                      <w:iCs/>
                    </w:rPr>
                    <w:t> </w:t>
                  </w:r>
                </w:p>
              </w:tc>
            </w:tr>
            <w:tr w:rsidR="00520EA2" w:rsidRPr="00520EA2" w14:paraId="2D57087A" w14:textId="77777777">
              <w:tc>
                <w:tcPr>
                  <w:tcW w:w="3435" w:type="dxa"/>
                  <w:tcMar>
                    <w:top w:w="0" w:type="dxa"/>
                    <w:left w:w="108" w:type="dxa"/>
                    <w:bottom w:w="0" w:type="dxa"/>
                    <w:right w:w="108" w:type="dxa"/>
                  </w:tcMar>
                  <w:hideMark/>
                </w:tcPr>
                <w:p w14:paraId="390A10D2" w14:textId="77777777" w:rsidR="00520EA2" w:rsidRPr="00520EA2" w:rsidRDefault="00520EA2" w:rsidP="00520EA2">
                  <w:pPr>
                    <w:jc w:val="both"/>
                  </w:pPr>
                  <w:r w:rsidRPr="00520EA2">
                    <w:rPr>
                      <w:i/>
                      <w:iCs/>
                    </w:rPr>
                    <w:t>İndirilecek KDV</w:t>
                  </w:r>
                </w:p>
              </w:tc>
              <w:tc>
                <w:tcPr>
                  <w:tcW w:w="276" w:type="dxa"/>
                  <w:tcMar>
                    <w:top w:w="0" w:type="dxa"/>
                    <w:left w:w="108" w:type="dxa"/>
                    <w:bottom w:w="0" w:type="dxa"/>
                    <w:right w:w="108" w:type="dxa"/>
                  </w:tcMar>
                  <w:hideMark/>
                </w:tcPr>
                <w:p w14:paraId="52340BB9" w14:textId="77777777" w:rsidR="00520EA2" w:rsidRPr="00520EA2" w:rsidRDefault="00520EA2" w:rsidP="00520EA2">
                  <w:pPr>
                    <w:jc w:val="both"/>
                  </w:pPr>
                  <w:r w:rsidRPr="00520EA2">
                    <w:rPr>
                      <w:i/>
                      <w:iCs/>
                    </w:rPr>
                    <w:t>:</w:t>
                  </w:r>
                </w:p>
              </w:tc>
              <w:tc>
                <w:tcPr>
                  <w:tcW w:w="1385" w:type="dxa"/>
                  <w:tcMar>
                    <w:top w:w="0" w:type="dxa"/>
                    <w:left w:w="108" w:type="dxa"/>
                    <w:bottom w:w="0" w:type="dxa"/>
                    <w:right w:w="108" w:type="dxa"/>
                  </w:tcMar>
                  <w:hideMark/>
                </w:tcPr>
                <w:p w14:paraId="31B2A454" w14:textId="77777777" w:rsidR="00520EA2" w:rsidRPr="00520EA2" w:rsidRDefault="00520EA2" w:rsidP="00520EA2">
                  <w:pPr>
                    <w:jc w:val="both"/>
                  </w:pPr>
                  <w:r w:rsidRPr="00520EA2">
                    <w:rPr>
                      <w:i/>
                      <w:iCs/>
                    </w:rPr>
                    <w:t>1.000.000 TL</w:t>
                  </w:r>
                </w:p>
              </w:tc>
            </w:tr>
            <w:tr w:rsidR="00520EA2" w:rsidRPr="00520EA2" w14:paraId="548DBF49" w14:textId="77777777">
              <w:tc>
                <w:tcPr>
                  <w:tcW w:w="3435" w:type="dxa"/>
                  <w:tcMar>
                    <w:top w:w="0" w:type="dxa"/>
                    <w:left w:w="108" w:type="dxa"/>
                    <w:bottom w:w="0" w:type="dxa"/>
                    <w:right w:w="108" w:type="dxa"/>
                  </w:tcMar>
                  <w:hideMark/>
                </w:tcPr>
                <w:p w14:paraId="7EED019D" w14:textId="77777777" w:rsidR="00520EA2" w:rsidRPr="00520EA2" w:rsidRDefault="00520EA2" w:rsidP="00520EA2">
                  <w:pPr>
                    <w:jc w:val="both"/>
                  </w:pPr>
                  <w:r w:rsidRPr="00520EA2">
                    <w:rPr>
                      <w:i/>
                      <w:iCs/>
                    </w:rPr>
                    <w:t>(5.000.000*%20)</w:t>
                  </w:r>
                </w:p>
              </w:tc>
              <w:tc>
                <w:tcPr>
                  <w:tcW w:w="276" w:type="dxa"/>
                  <w:tcMar>
                    <w:top w:w="0" w:type="dxa"/>
                    <w:left w:w="108" w:type="dxa"/>
                    <w:bottom w:w="0" w:type="dxa"/>
                    <w:right w:w="108" w:type="dxa"/>
                  </w:tcMar>
                  <w:hideMark/>
                </w:tcPr>
                <w:p w14:paraId="6563E74F" w14:textId="77777777" w:rsidR="00520EA2" w:rsidRPr="00520EA2" w:rsidRDefault="00520EA2" w:rsidP="00520EA2">
                  <w:pPr>
                    <w:jc w:val="both"/>
                  </w:pPr>
                  <w:r w:rsidRPr="00520EA2">
                    <w:rPr>
                      <w:i/>
                      <w:iCs/>
                    </w:rPr>
                    <w:t> </w:t>
                  </w:r>
                </w:p>
              </w:tc>
              <w:tc>
                <w:tcPr>
                  <w:tcW w:w="1385" w:type="dxa"/>
                  <w:tcMar>
                    <w:top w:w="0" w:type="dxa"/>
                    <w:left w:w="108" w:type="dxa"/>
                    <w:bottom w:w="0" w:type="dxa"/>
                    <w:right w:w="108" w:type="dxa"/>
                  </w:tcMar>
                  <w:hideMark/>
                </w:tcPr>
                <w:p w14:paraId="44ADA488" w14:textId="77777777" w:rsidR="00520EA2" w:rsidRPr="00520EA2" w:rsidRDefault="00520EA2" w:rsidP="00520EA2">
                  <w:pPr>
                    <w:jc w:val="both"/>
                  </w:pPr>
                  <w:r w:rsidRPr="00520EA2">
                    <w:rPr>
                      <w:i/>
                      <w:iCs/>
                    </w:rPr>
                    <w:t> </w:t>
                  </w:r>
                </w:p>
              </w:tc>
            </w:tr>
          </w:tbl>
          <w:p w14:paraId="5CF0311B" w14:textId="77777777" w:rsidR="00520EA2" w:rsidRPr="00520EA2" w:rsidRDefault="00520EA2" w:rsidP="00520EA2">
            <w:pPr>
              <w:jc w:val="both"/>
            </w:pPr>
            <w:r w:rsidRPr="00520EA2">
              <w:rPr>
                <w:b/>
                <w:bCs/>
              </w:rPr>
              <w:t>2.6.2. 7846 Sayılı Cumhurbaşkanı Kararı Kapsamında İndirimi Kabul Edilmeyen KDV’nin İndirim Konusu Yapılıp Yapılmadığının Tespiti</w:t>
            </w:r>
          </w:p>
          <w:p w14:paraId="0598ADA2" w14:textId="77777777" w:rsidR="00520EA2" w:rsidRPr="00520EA2" w:rsidRDefault="00520EA2" w:rsidP="00520EA2">
            <w:pPr>
              <w:jc w:val="both"/>
            </w:pPr>
            <w:r w:rsidRPr="00520EA2">
              <w:t>7846 sayılı Cumhurbaşkanı Kararı kapsamında;</w:t>
            </w:r>
          </w:p>
          <w:p w14:paraId="4D49C4A4" w14:textId="77777777" w:rsidR="00520EA2" w:rsidRPr="00520EA2" w:rsidRDefault="00520EA2" w:rsidP="00520EA2">
            <w:pPr>
              <w:jc w:val="both"/>
            </w:pPr>
            <w:r w:rsidRPr="00520EA2">
              <w:lastRenderedPageBreak/>
              <w:t>- İthalatta gözetim uygulanması hakkında ilgili mevzuat uyarınca, gözetim uygulamasına tabi tutulan mallara ilişkin gümrük beyannamelerinde beyan olunan ve tevsik edilemeyen tutarlar,</w:t>
            </w:r>
          </w:p>
          <w:p w14:paraId="2209A88A" w14:textId="77777777" w:rsidR="00520EA2" w:rsidRPr="00520EA2" w:rsidRDefault="00520EA2" w:rsidP="00520EA2">
            <w:pPr>
              <w:jc w:val="both"/>
            </w:pPr>
            <w:r w:rsidRPr="00520EA2">
              <w:t>- İthalatta korunma önlemleri uygulanması hakkında ilgili mevzuat uyarınca korunma önlemi olarak uygulanan gümrük vergisi ve/veya ek mali mükellefiyetler,</w:t>
            </w:r>
          </w:p>
          <w:p w14:paraId="67936B41" w14:textId="77777777" w:rsidR="00520EA2" w:rsidRPr="00520EA2" w:rsidRDefault="00520EA2" w:rsidP="00520EA2">
            <w:pPr>
              <w:jc w:val="both"/>
            </w:pPr>
            <w:r w:rsidRPr="00520EA2">
              <w:t>- İthalatta haksız rekabetin önlenmesi hakkında ilgili mevzuat kapsamında uygulanan dampinge karşı vergi ve telafi edici vergiler,</w:t>
            </w:r>
          </w:p>
          <w:p w14:paraId="1D869480" w14:textId="77777777" w:rsidR="00520EA2" w:rsidRPr="00520EA2" w:rsidRDefault="00520EA2" w:rsidP="00520EA2">
            <w:pPr>
              <w:jc w:val="both"/>
            </w:pPr>
            <w:proofErr w:type="gramStart"/>
            <w:r w:rsidRPr="00520EA2">
              <w:t>ile</w:t>
            </w:r>
            <w:proofErr w:type="gramEnd"/>
            <w:r w:rsidRPr="00520EA2">
              <w:t> bu tutarlar nedeniyle doğan ve KDV matrahına dâhil olan her türlü vergi, resim, harç ve paylar dolayısıyla ödenen KDV'nin indirimi mümkün değildir.</w:t>
            </w:r>
          </w:p>
          <w:p w14:paraId="4EFBBDF4" w14:textId="77777777" w:rsidR="00520EA2" w:rsidRPr="00520EA2" w:rsidRDefault="00520EA2" w:rsidP="00520EA2">
            <w:pPr>
              <w:jc w:val="both"/>
            </w:pPr>
            <w:r w:rsidRPr="00520EA2">
              <w:t>Bu kapsamda ithalat yapan mükellefler;</w:t>
            </w:r>
          </w:p>
          <w:p w14:paraId="2AB3101C" w14:textId="77777777" w:rsidR="00520EA2" w:rsidRPr="00520EA2" w:rsidRDefault="00520EA2" w:rsidP="00520EA2">
            <w:pPr>
              <w:jc w:val="both"/>
            </w:pPr>
            <w:r w:rsidRPr="00520EA2">
              <w:t xml:space="preserve">- Takvim yılının altışar aylık dönemleri itibarıyla ithalat bedeli 46 Sıra No.lu Serbest Muhasebeci Mali Müşavirlik ve Yeminli Mali Müşavirlik Kanunu Genel Tebliğinin </w:t>
            </w:r>
            <w:proofErr w:type="gramStart"/>
            <w:r w:rsidRPr="00520EA2">
              <w:t>3 üncü</w:t>
            </w:r>
            <w:proofErr w:type="gramEnd"/>
            <w:r w:rsidRPr="00520EA2">
              <w:t xml:space="preserve"> maddesinin birinci fıkrasının (a) bendinde belirlenen tutarı aşmayan ithalatlara ilişkin KDV’nin, işlemin yapıldığı döneme ait KDV beyannamesinde </w:t>
            </w:r>
            <w:proofErr w:type="gramStart"/>
            <w:r w:rsidRPr="00520EA2">
              <w:t>mezkur</w:t>
            </w:r>
            <w:proofErr w:type="gramEnd"/>
            <w:r w:rsidRPr="00520EA2">
              <w:t> Karar kapsamında doğru bir şekilde indirim konusu yapılıp yapılmadığını altışar aylık dönemleri izleyen ayın sonuna kadar bağlı oldukları vergi dairesine bildirirler.</w:t>
            </w:r>
          </w:p>
          <w:p w14:paraId="327DCD2D" w14:textId="77777777" w:rsidR="00520EA2" w:rsidRPr="00520EA2" w:rsidRDefault="00520EA2" w:rsidP="00520EA2">
            <w:pPr>
              <w:jc w:val="both"/>
            </w:pPr>
            <w:r w:rsidRPr="00520EA2">
              <w:t>- Takvim yılının altışar aylık dönemleri itibarıyla ithalat bedelinin belirlenen tutarı aşması halinde, söz konusu uygulamalar nedeniyle ödenen KDV’nin, </w:t>
            </w:r>
            <w:proofErr w:type="gramStart"/>
            <w:r w:rsidRPr="00520EA2">
              <w:t>mezkur</w:t>
            </w:r>
            <w:proofErr w:type="gramEnd"/>
            <w:r w:rsidRPr="00520EA2">
              <w:t> Karar kapsamında doğru bir şekilde indirim konusu yapılıp yapılmadığı altışar aylık dönemleri izleyen ayın sonuna kadar ibraz edilecek Özel Amaçlı YMM Raporu ile tevsik edilir. Şu kadar ki, mükellefin ithalatın yapıldığı yıl için süresinde düzenlenmiş tam tasdik sözleşmesinin bulunması ve düzenlenecek raporda 7846 sayılı Cumhurbaşkanı Kararı kapsamında gerçekleştirilen ithalata ilişkin ödenen KDV’nin indirim konusu yapılıp yapılmadığına yönelik açıklama bulunması halinde Özel Amaçlı YMM Raporu ibrazına gerek bulunmamaktadır.”</w:t>
            </w:r>
          </w:p>
          <w:p w14:paraId="1F350A5F" w14:textId="77777777" w:rsidR="00520EA2" w:rsidRPr="00520EA2" w:rsidRDefault="00520EA2" w:rsidP="00520EA2">
            <w:pPr>
              <w:jc w:val="both"/>
            </w:pPr>
            <w:r w:rsidRPr="00520EA2">
              <w:rPr>
                <w:b/>
                <w:bCs/>
              </w:rPr>
              <w:t>MADDE 6- </w:t>
            </w:r>
            <w:r w:rsidRPr="00520EA2">
              <w:t>Aynı Tebliğin (IV/A2-11.) bölümü aşağıdaki şekilde değiştirilmiştir.</w:t>
            </w:r>
          </w:p>
          <w:p w14:paraId="50DB9BE1" w14:textId="77777777" w:rsidR="00520EA2" w:rsidRPr="00520EA2" w:rsidRDefault="00520EA2" w:rsidP="00520EA2">
            <w:pPr>
              <w:jc w:val="both"/>
            </w:pPr>
            <w:r w:rsidRPr="00520EA2">
              <w:rPr>
                <w:b/>
                <w:bCs/>
              </w:rPr>
              <w:t>“11. Doğrudan Mal veya Hizmet Temin Ettikleri Mükellefler Hakkında Olumsuz Rapor veya Tespit Bulunanlar</w:t>
            </w:r>
          </w:p>
          <w:p w14:paraId="13F7D784" w14:textId="77777777" w:rsidR="00520EA2" w:rsidRPr="00520EA2" w:rsidRDefault="00520EA2" w:rsidP="00520EA2">
            <w:pPr>
              <w:jc w:val="both"/>
            </w:pPr>
            <w:r w:rsidRPr="00520EA2">
              <w:t>KDV iade talebinde bulunan ve kendileri hakkında bu Tebliğin (IV/A2) bölümü kapsamında herhangi bir olumsuzluk bulunmayan mükelleflerin ibraz ettikleri yüklenilen KDV ve indirilecek KDV listelerinde yer alan doğrudan mal veya hizmet temin ettiği mükellefler hakkında, bu Tebliğin (IV/A2-2.1.), (IV/A2-3.2.), (IV/A2-3.3.), (IV/A2-4.2.), (IV/A2-4.3.), (IV/A2-9.1.), (IV/A2-9.2.), (IV/A2-9.3.) bölümlerinde sayılan olumsuzluklardan herhangi birinin bulunması halinde mükelleflere 15 gün içinde olumsuzluğu giderebilecekleri bildirilir.</w:t>
            </w:r>
          </w:p>
          <w:p w14:paraId="26138F16" w14:textId="77777777" w:rsidR="00520EA2" w:rsidRPr="00520EA2" w:rsidRDefault="00520EA2" w:rsidP="00520EA2">
            <w:pPr>
              <w:jc w:val="both"/>
            </w:pPr>
            <w:r w:rsidRPr="00520EA2">
              <w:lastRenderedPageBreak/>
              <w:t>İade talep edilen vergilendirme dönemini kapsayan takvim yılında süresinde düzenlenmiş tam tasdik sözleşmesi bulunan mükelleflerin, iade talep edilen dönemdeki her bir iade hakkı doğuran işlem itibarıyla iade talebinin %5’ini geçmeyen tutarlar için bu bölüm kapsamında işlem yapılmaz.</w:t>
            </w:r>
          </w:p>
          <w:p w14:paraId="5765184E" w14:textId="77777777" w:rsidR="00520EA2" w:rsidRPr="00520EA2" w:rsidRDefault="00520EA2" w:rsidP="00520EA2">
            <w:pPr>
              <w:jc w:val="both"/>
            </w:pPr>
            <w:r w:rsidRPr="00520EA2">
              <w:t>Haklarında sahte belge veya muhteviyatı itibarıyla yanıltıcı belge düzenleme raporu veya tespiti dışında olumsuzluk bulunanlardan alım yapan mükelleflerin, olumsuzluğa ilişkin tarihten sonra herhangi bir belgeyi içermeyen iade talepleri, başka bir olumsuzluk olmaması kaydıyla bu bölüm kapsamında değerlendirilmez.</w:t>
            </w:r>
          </w:p>
          <w:p w14:paraId="5C6255F4" w14:textId="77777777" w:rsidR="00520EA2" w:rsidRPr="00520EA2" w:rsidRDefault="00520EA2" w:rsidP="00520EA2">
            <w:pPr>
              <w:jc w:val="both"/>
            </w:pPr>
            <w:r w:rsidRPr="00520EA2">
              <w:t>Kendilerine tanınan 15 günlük süre içerisinde işlemin gerçekliğini ve doğruluğunu bu Tebliğin (IV/A2-5.) bölümündeki açıklamalara göre ispat eden veya söz konusu alışlara isabet eden kısmı indirim KDV tutarlarından çıkaran mükelleflerin iade talepleri iade hakkı doğuran işlemler için belirlenmiş usul ve esaslara göre sonuçlandırılır.</w:t>
            </w:r>
          </w:p>
          <w:p w14:paraId="438867E1" w14:textId="77777777" w:rsidR="00520EA2" w:rsidRPr="00520EA2" w:rsidRDefault="00520EA2" w:rsidP="00520EA2">
            <w:pPr>
              <w:jc w:val="both"/>
            </w:pPr>
            <w:r w:rsidRPr="00520EA2">
              <w:t>Verilen süre içerisinde yukarıda belirtildiği şekilde olumsuzlukların giderilmemesi halinde, talep edilen iade tutarının olumsuzluk bulunmayan kısmının iadesi yukarıda belirtildiği şekilde yapılır, olumsuzluk bulunan kısmın iadesi ise vergi incelemesine gönderilir.</w:t>
            </w:r>
          </w:p>
          <w:p w14:paraId="6305EE57" w14:textId="77777777" w:rsidR="00520EA2" w:rsidRPr="00520EA2" w:rsidRDefault="00520EA2" w:rsidP="00520EA2">
            <w:pPr>
              <w:jc w:val="both"/>
            </w:pPr>
            <w:r w:rsidRPr="00520EA2">
              <w:t>Vergi incelemesine sevk edilen kısımla ilgili olarak;</w:t>
            </w:r>
          </w:p>
          <w:p w14:paraId="75956402" w14:textId="77777777" w:rsidR="00520EA2" w:rsidRPr="00520EA2" w:rsidRDefault="00520EA2" w:rsidP="00520EA2">
            <w:pPr>
              <w:jc w:val="both"/>
            </w:pPr>
            <w:r w:rsidRPr="00520EA2">
              <w:t xml:space="preserve">a) İadenin mahsuben talep edilmiş olması halinde, vergi inceleme raporu dışında diğer belgelerin tamamlanmış olması şartıyla standart iade talep dilekçesinin vergi dairesine verildiği tarih itibarıyla mahsup işlemi yapılır. Vergi inceleme raporunda iadeye engel bir durumun tespit edilmesi halinde haksız iade edilen tutar, gecikme faizi ve vergi ziyaı cezası </w:t>
            </w:r>
            <w:proofErr w:type="gramStart"/>
            <w:r w:rsidRPr="00520EA2">
              <w:t>ile birlikte</w:t>
            </w:r>
            <w:proofErr w:type="gramEnd"/>
            <w:r w:rsidRPr="00520EA2">
              <w:t xml:space="preserve"> mükelleften aranır.</w:t>
            </w:r>
          </w:p>
          <w:p w14:paraId="7F2A89D9" w14:textId="77777777" w:rsidR="00520EA2" w:rsidRPr="00520EA2" w:rsidRDefault="00520EA2" w:rsidP="00520EA2">
            <w:pPr>
              <w:jc w:val="both"/>
            </w:pPr>
            <w:r w:rsidRPr="00520EA2">
              <w:t>b) Nakden iade taleplerinde ise,</w:t>
            </w:r>
          </w:p>
          <w:p w14:paraId="1DF7440B" w14:textId="77777777" w:rsidR="00520EA2" w:rsidRPr="00520EA2" w:rsidRDefault="00520EA2" w:rsidP="00520EA2">
            <w:pPr>
              <w:jc w:val="both"/>
            </w:pPr>
            <w:r w:rsidRPr="00520EA2">
              <w:t>- Sahte belge düzenleme raporu veya tespiti bulunan mükelleflerden yaptıkları alışlara isabet eden kısma üç kat,</w:t>
            </w:r>
          </w:p>
          <w:p w14:paraId="31FA175D" w14:textId="77777777" w:rsidR="00520EA2" w:rsidRPr="00520EA2" w:rsidRDefault="00520EA2" w:rsidP="00520EA2">
            <w:pPr>
              <w:jc w:val="both"/>
            </w:pPr>
            <w:r w:rsidRPr="00520EA2">
              <w:t>- Diğer olumsuzluklar bulunan mükelleflerden yaptıkları alışlara isabet eden kısma iki kat,</w:t>
            </w:r>
          </w:p>
          <w:p w14:paraId="625F1B8E" w14:textId="77777777" w:rsidR="00520EA2" w:rsidRPr="00520EA2" w:rsidRDefault="00520EA2" w:rsidP="00520EA2">
            <w:pPr>
              <w:jc w:val="both"/>
            </w:pPr>
            <w:proofErr w:type="gramStart"/>
            <w:r w:rsidRPr="00520EA2">
              <w:t>teminat</w:t>
            </w:r>
            <w:proofErr w:type="gramEnd"/>
            <w:r w:rsidRPr="00520EA2">
              <w:t> verilmesi halinde iade yerine getirilir. Teminat vergi inceleme raporu ile çözülür.”</w:t>
            </w:r>
          </w:p>
          <w:p w14:paraId="75B10F71" w14:textId="77777777" w:rsidR="00520EA2" w:rsidRPr="00520EA2" w:rsidRDefault="00520EA2" w:rsidP="00520EA2">
            <w:pPr>
              <w:jc w:val="both"/>
            </w:pPr>
            <w:r w:rsidRPr="00520EA2">
              <w:rPr>
                <w:b/>
                <w:bCs/>
              </w:rPr>
              <w:t>MADDE 7- </w:t>
            </w:r>
            <w:r w:rsidRPr="00520EA2">
              <w:t>Aynı Tebliğin (IV/A3-1.3.) bölümüne onuncu paragraftan sonra gelmek üzere aşağıdaki paragraf eklenmiştir.</w:t>
            </w:r>
          </w:p>
          <w:p w14:paraId="24AA61BB" w14:textId="77777777" w:rsidR="00520EA2" w:rsidRPr="00520EA2" w:rsidRDefault="00520EA2" w:rsidP="00520EA2">
            <w:pPr>
              <w:jc w:val="both"/>
            </w:pPr>
            <w:r w:rsidRPr="00520EA2">
              <w:t>“Diğer taraftan, HİS sertifikası sahibi mükelleflerin aktiflerinde yer alan </w:t>
            </w:r>
            <w:proofErr w:type="spellStart"/>
            <w:r w:rsidRPr="00520EA2">
              <w:t>ATİK’ler</w:t>
            </w:r>
            <w:proofErr w:type="spellEnd"/>
            <w:r w:rsidRPr="00520EA2">
              <w:t> için iade hesabına </w:t>
            </w:r>
            <w:proofErr w:type="spellStart"/>
            <w:r w:rsidRPr="00520EA2">
              <w:t>ATİK’lerden</w:t>
            </w:r>
            <w:proofErr w:type="spellEnd"/>
            <w:r w:rsidRPr="00520EA2">
              <w:t xml:space="preserve"> verilecek pay tutarının hesabında, her bir ATİK için </w:t>
            </w:r>
            <w:r w:rsidRPr="00520EA2">
              <w:lastRenderedPageBreak/>
              <w:t>ayrı ayrı hesaplama yapılmasına gerek olmayıp bütün </w:t>
            </w:r>
            <w:proofErr w:type="spellStart"/>
            <w:r w:rsidRPr="00520EA2">
              <w:t>ATİK’ler</w:t>
            </w:r>
            <w:proofErr w:type="spellEnd"/>
            <w:r w:rsidRPr="00520EA2">
              <w:t> için tek bir hesaplama yapılması mümkündür.”</w:t>
            </w:r>
          </w:p>
          <w:p w14:paraId="37740A31" w14:textId="77777777" w:rsidR="00520EA2" w:rsidRPr="00520EA2" w:rsidRDefault="00520EA2" w:rsidP="00520EA2">
            <w:pPr>
              <w:jc w:val="both"/>
            </w:pPr>
            <w:r w:rsidRPr="00520EA2">
              <w:rPr>
                <w:b/>
                <w:bCs/>
              </w:rPr>
              <w:t>MADDE 8- </w:t>
            </w:r>
            <w:r w:rsidRPr="00520EA2">
              <w:t>Aynı Tebliğin;</w:t>
            </w:r>
          </w:p>
          <w:p w14:paraId="79B7C9AC" w14:textId="77777777" w:rsidR="00520EA2" w:rsidRPr="00520EA2" w:rsidRDefault="00520EA2" w:rsidP="00520EA2">
            <w:pPr>
              <w:jc w:val="both"/>
            </w:pPr>
            <w:r w:rsidRPr="00520EA2">
              <w:t>a) (IV/B-3.) bölümünün (c) bendinde yer alan “7” ibareleri “15” olarak,</w:t>
            </w:r>
          </w:p>
          <w:p w14:paraId="1AC0BD74" w14:textId="77777777" w:rsidR="00520EA2" w:rsidRPr="00520EA2" w:rsidRDefault="00520EA2" w:rsidP="00520EA2">
            <w:pPr>
              <w:jc w:val="both"/>
            </w:pPr>
            <w:r w:rsidRPr="00520EA2">
              <w:t>b) (IV/C-3.) bölümünün (c) bendinde yer alan “yedi” ibareleri “15” olarak,</w:t>
            </w:r>
          </w:p>
          <w:p w14:paraId="6F30C941" w14:textId="77777777" w:rsidR="00520EA2" w:rsidRPr="00520EA2" w:rsidRDefault="00520EA2" w:rsidP="00520EA2">
            <w:pPr>
              <w:jc w:val="both"/>
            </w:pPr>
            <w:proofErr w:type="gramStart"/>
            <w:r w:rsidRPr="00520EA2">
              <w:t>değiştirilmiştir</w:t>
            </w:r>
            <w:proofErr w:type="gramEnd"/>
            <w:r w:rsidRPr="00520EA2">
              <w:t>.</w:t>
            </w:r>
          </w:p>
          <w:p w14:paraId="3DA5B2B5" w14:textId="77777777" w:rsidR="00520EA2" w:rsidRPr="00520EA2" w:rsidRDefault="00520EA2" w:rsidP="00520EA2">
            <w:pPr>
              <w:jc w:val="both"/>
            </w:pPr>
            <w:r w:rsidRPr="00520EA2">
              <w:rPr>
                <w:b/>
                <w:bCs/>
              </w:rPr>
              <w:t>MADDE 9- </w:t>
            </w:r>
            <w:r w:rsidRPr="00520EA2">
              <w:t>Bu Tebliğin;</w:t>
            </w:r>
          </w:p>
          <w:p w14:paraId="18C59968" w14:textId="77777777" w:rsidR="00520EA2" w:rsidRPr="00520EA2" w:rsidRDefault="00520EA2" w:rsidP="00520EA2">
            <w:pPr>
              <w:jc w:val="both"/>
            </w:pPr>
            <w:r w:rsidRPr="00520EA2">
              <w:t xml:space="preserve">a) 1 inci ve </w:t>
            </w:r>
            <w:proofErr w:type="gramStart"/>
            <w:r w:rsidRPr="00520EA2">
              <w:t>7 nci</w:t>
            </w:r>
            <w:proofErr w:type="gramEnd"/>
            <w:r w:rsidRPr="00520EA2">
              <w:t> maddeleri yayımını izleyen ayın başında,</w:t>
            </w:r>
          </w:p>
          <w:p w14:paraId="6F9AE17A" w14:textId="77777777" w:rsidR="00520EA2" w:rsidRPr="00520EA2" w:rsidRDefault="00520EA2" w:rsidP="00520EA2">
            <w:pPr>
              <w:jc w:val="both"/>
            </w:pPr>
            <w:r w:rsidRPr="00520EA2">
              <w:t xml:space="preserve">b) </w:t>
            </w:r>
            <w:proofErr w:type="gramStart"/>
            <w:r w:rsidRPr="00520EA2">
              <w:t>4 üncü</w:t>
            </w:r>
            <w:proofErr w:type="gramEnd"/>
            <w:r w:rsidRPr="00520EA2">
              <w:t xml:space="preserve"> maddesi 1/1/2026 tarihinden geçerli olmak üzere yayımı tarihinde,</w:t>
            </w:r>
          </w:p>
          <w:p w14:paraId="23C8F617" w14:textId="77777777" w:rsidR="00520EA2" w:rsidRPr="00520EA2" w:rsidRDefault="00520EA2" w:rsidP="00520EA2">
            <w:pPr>
              <w:jc w:val="both"/>
            </w:pPr>
            <w:r w:rsidRPr="00520EA2">
              <w:t>c) Diğer maddeleri yayımı tarihinde,</w:t>
            </w:r>
          </w:p>
          <w:p w14:paraId="6F959211" w14:textId="77777777" w:rsidR="00520EA2" w:rsidRPr="00520EA2" w:rsidRDefault="00520EA2" w:rsidP="00520EA2">
            <w:pPr>
              <w:jc w:val="both"/>
            </w:pPr>
            <w:proofErr w:type="gramStart"/>
            <w:r w:rsidRPr="00520EA2">
              <w:t>yürürlüğe</w:t>
            </w:r>
            <w:proofErr w:type="gramEnd"/>
            <w:r w:rsidRPr="00520EA2">
              <w:t> girer.</w:t>
            </w:r>
          </w:p>
          <w:p w14:paraId="58117B7A" w14:textId="77777777" w:rsidR="00520EA2" w:rsidRPr="00520EA2" w:rsidRDefault="00520EA2" w:rsidP="00520EA2">
            <w:pPr>
              <w:jc w:val="both"/>
            </w:pPr>
            <w:r w:rsidRPr="00520EA2">
              <w:rPr>
                <w:b/>
                <w:bCs/>
              </w:rPr>
              <w:t>MADDE 10- </w:t>
            </w:r>
            <w:r w:rsidRPr="00520EA2">
              <w:t>Bu Tebliğ hükümlerini Hazine ve Maliye Bakanı yürütür.</w:t>
            </w:r>
          </w:p>
          <w:p w14:paraId="31BAE757" w14:textId="77777777" w:rsidR="00520EA2" w:rsidRPr="00520EA2" w:rsidRDefault="00520EA2" w:rsidP="00520EA2">
            <w:pPr>
              <w:jc w:val="both"/>
            </w:pPr>
            <w:r w:rsidRPr="00520EA2">
              <w:rPr>
                <w:b/>
                <w:bCs/>
              </w:rPr>
              <w:t> </w:t>
            </w:r>
          </w:p>
        </w:tc>
      </w:tr>
    </w:tbl>
    <w:p w14:paraId="0F50919C" w14:textId="77777777" w:rsidR="00F40434" w:rsidRDefault="00F40434" w:rsidP="00520EA2">
      <w:pPr>
        <w:jc w:val="both"/>
      </w:pPr>
    </w:p>
    <w:sectPr w:rsidR="00F40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A2"/>
    <w:rsid w:val="00164995"/>
    <w:rsid w:val="00520EA2"/>
    <w:rsid w:val="005F324D"/>
    <w:rsid w:val="0068156B"/>
    <w:rsid w:val="0074731E"/>
    <w:rsid w:val="00C13E62"/>
    <w:rsid w:val="00D6359F"/>
    <w:rsid w:val="00D664B5"/>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D508"/>
  <w15:chartTrackingRefBased/>
  <w15:docId w15:val="{209ED725-0C76-47BE-BBF8-82AE0F58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520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20EA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20EA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20EA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20EA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20EA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20EA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20EA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520EA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20EA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20EA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20EA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20EA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20EA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20EA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20EA2"/>
    <w:rPr>
      <w:rFonts w:eastAsiaTheme="majorEastAsia" w:cstheme="majorBidi"/>
      <w:color w:val="272727" w:themeColor="text1" w:themeTint="D8"/>
    </w:rPr>
  </w:style>
  <w:style w:type="paragraph" w:styleId="KonuBal">
    <w:name w:val="Title"/>
    <w:basedOn w:val="Normal"/>
    <w:next w:val="Normal"/>
    <w:link w:val="KonuBalChar"/>
    <w:uiPriority w:val="10"/>
    <w:qFormat/>
    <w:rsid w:val="00520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20EA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20EA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20EA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20EA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20EA2"/>
    <w:rPr>
      <w:i/>
      <w:iCs/>
      <w:color w:val="404040" w:themeColor="text1" w:themeTint="BF"/>
    </w:rPr>
  </w:style>
  <w:style w:type="paragraph" w:styleId="ListeParagraf">
    <w:name w:val="List Paragraph"/>
    <w:basedOn w:val="Normal"/>
    <w:uiPriority w:val="34"/>
    <w:qFormat/>
    <w:rsid w:val="00520EA2"/>
    <w:pPr>
      <w:ind w:left="720"/>
      <w:contextualSpacing/>
    </w:pPr>
  </w:style>
  <w:style w:type="character" w:styleId="GlVurgulama">
    <w:name w:val="Intense Emphasis"/>
    <w:basedOn w:val="VarsaylanParagrafYazTipi"/>
    <w:uiPriority w:val="21"/>
    <w:qFormat/>
    <w:rsid w:val="00520EA2"/>
    <w:rPr>
      <w:i/>
      <w:iCs/>
      <w:color w:val="0F4761" w:themeColor="accent1" w:themeShade="BF"/>
    </w:rPr>
  </w:style>
  <w:style w:type="paragraph" w:styleId="GlAlnt">
    <w:name w:val="Intense Quote"/>
    <w:basedOn w:val="Normal"/>
    <w:next w:val="Normal"/>
    <w:link w:val="GlAlntChar"/>
    <w:uiPriority w:val="30"/>
    <w:qFormat/>
    <w:rsid w:val="00520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20EA2"/>
    <w:rPr>
      <w:i/>
      <w:iCs/>
      <w:color w:val="0F4761" w:themeColor="accent1" w:themeShade="BF"/>
    </w:rPr>
  </w:style>
  <w:style w:type="character" w:styleId="GlBavuru">
    <w:name w:val="Intense Reference"/>
    <w:basedOn w:val="VarsaylanParagrafYazTipi"/>
    <w:uiPriority w:val="32"/>
    <w:qFormat/>
    <w:rsid w:val="00520E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2513</Words>
  <Characters>14329</Characters>
  <Application>Microsoft Office Word</Application>
  <DocSecurity>4</DocSecurity>
  <Lines>119</Lines>
  <Paragraphs>33</Paragraphs>
  <ScaleCrop>false</ScaleCrop>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2026-02-02T08:48:00Z</dcterms:created>
  <dcterms:modified xsi:type="dcterms:W3CDTF">2026-02-02T08:48:00Z</dcterms:modified>
</cp:coreProperties>
</file>